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F7A7" w14:textId="77777777" w:rsidR="002F6938" w:rsidRPr="002F6938" w:rsidRDefault="002F6938" w:rsidP="002F6938">
      <w:pPr>
        <w:pStyle w:val="BodyText"/>
        <w:kinsoku w:val="0"/>
        <w:overflowPunct w:val="0"/>
        <w:rPr>
          <w:rFonts w:ascii="Arial" w:hAnsi="Arial" w:cs="Arial"/>
          <w:b/>
          <w:bCs w:val="0"/>
          <w:sz w:val="19"/>
          <w:szCs w:val="19"/>
        </w:rPr>
      </w:pPr>
    </w:p>
    <w:p w14:paraId="081EB4D6" w14:textId="77777777" w:rsidR="002F6938" w:rsidRPr="002F6938" w:rsidRDefault="002F6938" w:rsidP="002F6938">
      <w:pPr>
        <w:pStyle w:val="BodyText"/>
        <w:kinsoku w:val="0"/>
        <w:overflowPunct w:val="0"/>
        <w:rPr>
          <w:rFonts w:ascii="Arial" w:hAnsi="Arial" w:cs="Arial"/>
          <w:b/>
          <w:bCs w:val="0"/>
          <w:sz w:val="19"/>
          <w:szCs w:val="19"/>
        </w:rPr>
      </w:pPr>
    </w:p>
    <w:p w14:paraId="1D0C3030" w14:textId="77777777" w:rsidR="002F6938" w:rsidRPr="002F6938" w:rsidRDefault="002F6938" w:rsidP="002F6938">
      <w:pPr>
        <w:pStyle w:val="BodyText"/>
        <w:kinsoku w:val="0"/>
        <w:overflowPunct w:val="0"/>
        <w:rPr>
          <w:rFonts w:ascii="Arial" w:hAnsi="Arial" w:cs="Arial"/>
          <w:b/>
          <w:bCs w:val="0"/>
          <w:sz w:val="19"/>
          <w:szCs w:val="19"/>
        </w:rPr>
      </w:pPr>
    </w:p>
    <w:p w14:paraId="77A16EFC" w14:textId="77777777" w:rsidR="002F6938" w:rsidRPr="002F6938" w:rsidRDefault="002F6938" w:rsidP="002F6938">
      <w:pPr>
        <w:pStyle w:val="BodyText"/>
        <w:kinsoku w:val="0"/>
        <w:overflowPunct w:val="0"/>
        <w:rPr>
          <w:rFonts w:ascii="Arial" w:hAnsi="Arial" w:cs="Arial"/>
          <w:b/>
          <w:bCs w:val="0"/>
          <w:sz w:val="19"/>
          <w:szCs w:val="19"/>
        </w:rPr>
      </w:pPr>
    </w:p>
    <w:p w14:paraId="072BB9AE" w14:textId="77777777" w:rsidR="002F6938" w:rsidRPr="002F6938" w:rsidRDefault="002F6938" w:rsidP="002F6938">
      <w:pPr>
        <w:pStyle w:val="BodyText"/>
        <w:kinsoku w:val="0"/>
        <w:overflowPunct w:val="0"/>
        <w:rPr>
          <w:rFonts w:ascii="Arial" w:hAnsi="Arial" w:cs="Arial"/>
          <w:b/>
          <w:bCs w:val="0"/>
          <w:sz w:val="19"/>
          <w:szCs w:val="19"/>
        </w:rPr>
      </w:pPr>
    </w:p>
    <w:p w14:paraId="337EECB4" w14:textId="77777777" w:rsidR="002F6938" w:rsidRPr="002F6938" w:rsidRDefault="002F6938" w:rsidP="002F6938">
      <w:pPr>
        <w:pStyle w:val="BodyText"/>
        <w:kinsoku w:val="0"/>
        <w:overflowPunct w:val="0"/>
        <w:rPr>
          <w:rFonts w:ascii="Arial" w:hAnsi="Arial" w:cs="Arial"/>
          <w:b/>
          <w:bCs w:val="0"/>
          <w:sz w:val="19"/>
          <w:szCs w:val="19"/>
        </w:rPr>
      </w:pPr>
    </w:p>
    <w:p w14:paraId="274B7A7A" w14:textId="77777777" w:rsidR="002F6938" w:rsidRPr="002F6938" w:rsidRDefault="002F6938" w:rsidP="002F6938">
      <w:pPr>
        <w:pStyle w:val="BodyText"/>
        <w:kinsoku w:val="0"/>
        <w:overflowPunct w:val="0"/>
        <w:rPr>
          <w:rFonts w:ascii="Arial" w:hAnsi="Arial" w:cs="Arial"/>
          <w:b/>
          <w:bCs w:val="0"/>
          <w:sz w:val="19"/>
          <w:szCs w:val="19"/>
        </w:rPr>
      </w:pPr>
    </w:p>
    <w:p w14:paraId="15A65FEE" w14:textId="77777777" w:rsidR="002F6938" w:rsidRPr="002F6938" w:rsidRDefault="002F6938" w:rsidP="002F6938">
      <w:pPr>
        <w:pStyle w:val="BodyText"/>
        <w:kinsoku w:val="0"/>
        <w:overflowPunct w:val="0"/>
        <w:rPr>
          <w:rFonts w:ascii="Arial" w:hAnsi="Arial" w:cs="Arial"/>
          <w:b/>
          <w:bCs w:val="0"/>
          <w:sz w:val="19"/>
          <w:szCs w:val="19"/>
        </w:rPr>
      </w:pPr>
    </w:p>
    <w:p w14:paraId="2ABAFD7C" w14:textId="77777777" w:rsidR="002F6938" w:rsidRPr="002F6938" w:rsidRDefault="002F6938" w:rsidP="002F6938">
      <w:pPr>
        <w:pStyle w:val="BodyText"/>
        <w:kinsoku w:val="0"/>
        <w:overflowPunct w:val="0"/>
        <w:rPr>
          <w:rFonts w:ascii="Arial" w:hAnsi="Arial" w:cs="Arial"/>
          <w:b/>
          <w:bCs w:val="0"/>
          <w:sz w:val="19"/>
          <w:szCs w:val="19"/>
        </w:rPr>
      </w:pPr>
    </w:p>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43EF3CE3" w14:textId="679ED23F" w:rsidR="002848F9" w:rsidRPr="00800E94" w:rsidRDefault="00B66DF8" w:rsidP="00800E94">
      <w:pPr>
        <w:rPr>
          <w:rFonts w:ascii="Arial" w:hAnsi="Arial" w:cs="Arial"/>
          <w:sz w:val="20"/>
          <w:lang w:val="en-US"/>
        </w:rPr>
      </w:pPr>
      <w:r w:rsidRPr="00B14C47">
        <w:rPr>
          <w:rFonts w:ascii="Arial" w:hAnsi="Arial" w:cs="Arial"/>
          <w:color w:val="FF0000"/>
          <w:sz w:val="20"/>
        </w:rPr>
        <w:t xml:space="preserve">                </w:t>
      </w:r>
    </w:p>
    <w:p w14:paraId="4BFFB492" w14:textId="7137D268" w:rsidR="00B66DF8" w:rsidRPr="00DA0251" w:rsidRDefault="006E7479" w:rsidP="006E7479">
      <w:pPr>
        <w:pStyle w:val="Heading6"/>
        <w:jc w:val="center"/>
        <w:rPr>
          <w:rFonts w:ascii="Arial" w:hAnsi="Arial" w:cs="Arial"/>
          <w:sz w:val="40"/>
          <w:szCs w:val="40"/>
          <w:u w:val="single"/>
        </w:rPr>
      </w:pPr>
      <w:r w:rsidRPr="00DA0251">
        <w:rPr>
          <w:rFonts w:ascii="Arial" w:hAnsi="Arial" w:cs="Arial"/>
          <w:sz w:val="40"/>
          <w:szCs w:val="40"/>
          <w:u w:val="single"/>
        </w:rPr>
        <w:t>„</w:t>
      </w:r>
      <w:r w:rsidR="00146B90" w:rsidRPr="00DA0251">
        <w:rPr>
          <w:rFonts w:ascii="Arial" w:hAnsi="Arial" w:cs="Arial"/>
          <w:sz w:val="40"/>
          <w:szCs w:val="40"/>
          <w:u w:val="single"/>
          <w:lang w:val="bg-BG"/>
        </w:rPr>
        <w:t xml:space="preserve">ИНФРА </w:t>
      </w:r>
      <w:proofErr w:type="gramStart"/>
      <w:r w:rsidR="00146B90" w:rsidRPr="00DA0251">
        <w:rPr>
          <w:rFonts w:ascii="Arial" w:hAnsi="Arial" w:cs="Arial"/>
          <w:sz w:val="40"/>
          <w:szCs w:val="40"/>
          <w:u w:val="single"/>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6339F6F6" w:rsidR="00B66DF8" w:rsidRPr="00B14C47" w:rsidRDefault="00D433CD" w:rsidP="00B66DF8">
      <w:pPr>
        <w:jc w:val="center"/>
        <w:rPr>
          <w:rFonts w:ascii="Arial" w:hAnsi="Arial" w:cs="Arial"/>
          <w:b/>
          <w:sz w:val="20"/>
        </w:rPr>
      </w:pPr>
      <w:bookmarkStart w:id="0" w:name="OLE_LINK2"/>
      <w:bookmarkStart w:id="1" w:name="OLE_LINK3"/>
      <w:r>
        <w:rPr>
          <w:rFonts w:ascii="Arial" w:hAnsi="Arial" w:cs="Arial"/>
          <w:b/>
          <w:sz w:val="20"/>
        </w:rPr>
        <w:t xml:space="preserve">ПРЕДВАРИТЕЛЕН </w:t>
      </w:r>
      <w:r w:rsidR="006E7479" w:rsidRPr="00B14C47">
        <w:rPr>
          <w:rFonts w:ascii="Arial" w:hAnsi="Arial" w:cs="Arial"/>
          <w:b/>
          <w:sz w:val="20"/>
        </w:rPr>
        <w:t xml:space="preserve">ИНДИВИДУАЛЕН </w:t>
      </w:r>
      <w:r w:rsidR="00D42B21" w:rsidRPr="00B14C47">
        <w:rPr>
          <w:rFonts w:ascii="Arial" w:hAnsi="Arial" w:cs="Arial"/>
          <w:b/>
          <w:sz w:val="20"/>
        </w:rPr>
        <w:t>ГОДИШЕН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110ECAEB"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635E3" w:rsidRPr="00B14C47">
        <w:rPr>
          <w:rFonts w:ascii="Arial" w:hAnsi="Arial" w:cs="Arial"/>
          <w:b/>
          <w:sz w:val="20"/>
          <w:lang w:val="en-US"/>
        </w:rPr>
        <w:t>3</w:t>
      </w:r>
      <w:r w:rsidR="00D433CD">
        <w:rPr>
          <w:rFonts w:ascii="Arial" w:hAnsi="Arial" w:cs="Arial"/>
          <w:b/>
          <w:sz w:val="20"/>
        </w:rPr>
        <w:t>1</w:t>
      </w:r>
      <w:r w:rsidR="00B66DF8" w:rsidRPr="00B14C47">
        <w:rPr>
          <w:rFonts w:ascii="Arial" w:hAnsi="Arial" w:cs="Arial"/>
          <w:b/>
          <w:sz w:val="20"/>
        </w:rPr>
        <w:t xml:space="preserve"> </w:t>
      </w:r>
      <w:r w:rsidR="00D433CD">
        <w:rPr>
          <w:rFonts w:ascii="Arial" w:hAnsi="Arial" w:cs="Arial"/>
          <w:b/>
          <w:sz w:val="20"/>
        </w:rPr>
        <w:t>Деке</w:t>
      </w:r>
      <w:r w:rsidR="000E249E">
        <w:rPr>
          <w:rFonts w:ascii="Arial" w:hAnsi="Arial" w:cs="Arial"/>
          <w:b/>
          <w:sz w:val="20"/>
        </w:rPr>
        <w:t>мври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16590A">
        <w:rPr>
          <w:rFonts w:ascii="Arial" w:hAnsi="Arial" w:cs="Arial"/>
          <w:b/>
          <w:sz w:val="20"/>
        </w:rPr>
        <w:t>5</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99563F">
        <w:rPr>
          <w:rFonts w:ascii="Arial" w:hAnsi="Arial" w:cs="Arial"/>
          <w:b/>
          <w:sz w:val="20"/>
        </w:rPr>
        <w:t xml:space="preserve">страница </w:t>
      </w:r>
      <w:r w:rsidR="0025784E" w:rsidRPr="00D05F2E">
        <w:rPr>
          <w:rFonts w:ascii="Arial" w:hAnsi="Arial" w:cs="Arial"/>
          <w:b/>
          <w:sz w:val="20"/>
        </w:rPr>
        <w:t>9</w:t>
      </w:r>
      <w:r w:rsidR="00B66DF8" w:rsidRPr="00D05F2E">
        <w:rPr>
          <w:rFonts w:ascii="Arial" w:hAnsi="Arial" w:cs="Arial"/>
          <w:b/>
          <w:sz w:val="20"/>
        </w:rPr>
        <w:t xml:space="preserve"> до страница </w:t>
      </w:r>
      <w:r w:rsidR="00663CB5" w:rsidRPr="00D05F2E">
        <w:rPr>
          <w:rFonts w:ascii="Arial" w:hAnsi="Arial" w:cs="Arial"/>
          <w:b/>
          <w:sz w:val="20"/>
        </w:rPr>
        <w:t>4</w:t>
      </w:r>
      <w:r w:rsidR="0025784E" w:rsidRPr="00D05F2E">
        <w:rPr>
          <w:rFonts w:ascii="Arial" w:hAnsi="Arial" w:cs="Arial"/>
          <w:b/>
          <w:sz w:val="20"/>
        </w:rPr>
        <w:t>0</w:t>
      </w:r>
      <w:r w:rsidR="007F67D2" w:rsidRPr="00D05F2E">
        <w:rPr>
          <w:rFonts w:ascii="Arial" w:hAnsi="Arial" w:cs="Arial"/>
          <w:b/>
          <w:sz w:val="20"/>
        </w:rPr>
        <w:t xml:space="preserve"> </w:t>
      </w:r>
      <w:r w:rsidR="00B66DF8" w:rsidRPr="00D05F2E">
        <w:rPr>
          <w:rFonts w:ascii="Arial" w:hAnsi="Arial" w:cs="Arial"/>
          <w:b/>
          <w:sz w:val="20"/>
        </w:rPr>
        <w:t>са</w:t>
      </w:r>
      <w:r w:rsidR="00B66DF8" w:rsidRPr="0099563F">
        <w:rPr>
          <w:rFonts w:ascii="Arial" w:hAnsi="Arial" w:cs="Arial"/>
          <w:b/>
          <w:sz w:val="20"/>
        </w:rPr>
        <w:t xml:space="preserve"> одобрени</w:t>
      </w:r>
      <w:r w:rsidR="00B66DF8" w:rsidRPr="000F57AF">
        <w:rPr>
          <w:rFonts w:ascii="Arial" w:hAnsi="Arial" w:cs="Arial"/>
          <w:b/>
          <w:sz w:val="20"/>
        </w:rPr>
        <w:t xml:space="preserve"> от Съвета</w:t>
      </w:r>
      <w:r w:rsidR="00B66DF8" w:rsidRPr="0025784E">
        <w:rPr>
          <w:rFonts w:ascii="Arial" w:hAnsi="Arial" w:cs="Arial"/>
          <w:b/>
          <w:sz w:val="20"/>
        </w:rPr>
        <w:t xml:space="preserve"> на директорите на </w:t>
      </w:r>
      <w:r w:rsidRPr="0025784E">
        <w:rPr>
          <w:rFonts w:ascii="Arial" w:hAnsi="Arial" w:cs="Arial"/>
          <w:b/>
        </w:rPr>
        <w:t>„ИНФРА ХОЛДИНГ“ АД</w:t>
      </w:r>
      <w:r w:rsidRPr="0025784E">
        <w:rPr>
          <w:rFonts w:ascii="Arial" w:hAnsi="Arial" w:cs="Arial"/>
          <w:b/>
          <w:sz w:val="20"/>
        </w:rPr>
        <w:t xml:space="preserve"> </w:t>
      </w:r>
      <w:r w:rsidR="00B66DF8" w:rsidRPr="0025784E">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Default="00B66DF8" w:rsidP="00B66DF8">
      <w:pPr>
        <w:rPr>
          <w:rFonts w:ascii="Arial" w:hAnsi="Arial" w:cs="Arial"/>
          <w:b/>
          <w:sz w:val="20"/>
        </w:rPr>
      </w:pPr>
    </w:p>
    <w:p w14:paraId="07153147" w14:textId="77777777" w:rsidR="00DA0251" w:rsidRDefault="00DA0251" w:rsidP="00B66DF8">
      <w:pPr>
        <w:rPr>
          <w:rFonts w:ascii="Arial" w:hAnsi="Arial" w:cs="Arial"/>
          <w:b/>
          <w:sz w:val="20"/>
        </w:rPr>
      </w:pPr>
    </w:p>
    <w:p w14:paraId="2F6B844C" w14:textId="77777777" w:rsidR="00DA0251" w:rsidRDefault="00DA0251" w:rsidP="00B66DF8">
      <w:pPr>
        <w:rPr>
          <w:rFonts w:ascii="Arial" w:hAnsi="Arial" w:cs="Arial"/>
          <w:b/>
          <w:sz w:val="20"/>
        </w:rPr>
      </w:pPr>
    </w:p>
    <w:p w14:paraId="220A0F46" w14:textId="77777777" w:rsidR="00DA0251" w:rsidRDefault="00DA0251" w:rsidP="00B66DF8">
      <w:pPr>
        <w:rPr>
          <w:rFonts w:ascii="Arial" w:hAnsi="Arial" w:cs="Arial"/>
          <w:b/>
          <w:sz w:val="20"/>
        </w:rPr>
      </w:pPr>
    </w:p>
    <w:p w14:paraId="3D559A34" w14:textId="77777777" w:rsidR="00DA0251" w:rsidRPr="00B14C47" w:rsidRDefault="00DA0251" w:rsidP="00B66DF8">
      <w:pPr>
        <w:rPr>
          <w:rFonts w:ascii="Arial" w:hAnsi="Arial" w:cs="Arial"/>
          <w:b/>
          <w:sz w:val="20"/>
        </w:rPr>
      </w:pPr>
    </w:p>
    <w:p w14:paraId="615C0B66" w14:textId="0D16425B"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w:t>
      </w:r>
      <w:r w:rsidR="00DA0251">
        <w:rPr>
          <w:rFonts w:ascii="Arial" w:hAnsi="Arial" w:cs="Arial"/>
          <w:b/>
          <w:sz w:val="20"/>
        </w:rPr>
        <w:t>____</w:t>
      </w:r>
      <w:r w:rsidRPr="00B14C47">
        <w:rPr>
          <w:rFonts w:ascii="Arial" w:hAnsi="Arial" w:cs="Arial"/>
          <w:b/>
          <w:sz w:val="20"/>
        </w:rPr>
        <w:t>______</w:t>
      </w:r>
    </w:p>
    <w:p w14:paraId="232E372D" w14:textId="77777777" w:rsidR="00B66DF8" w:rsidRPr="00B14C47" w:rsidRDefault="00B66DF8" w:rsidP="00B66DF8">
      <w:pPr>
        <w:rPr>
          <w:rFonts w:ascii="Arial" w:hAnsi="Arial" w:cs="Arial"/>
          <w:sz w:val="20"/>
        </w:rPr>
      </w:pPr>
    </w:p>
    <w:p w14:paraId="3F077B23" w14:textId="455EFDE3" w:rsidR="00B66DF8" w:rsidRPr="00B14C47" w:rsidRDefault="00554F66" w:rsidP="00B66DF8">
      <w:pPr>
        <w:rPr>
          <w:rFonts w:ascii="Arial" w:hAnsi="Arial" w:cs="Arial"/>
          <w:b/>
          <w:sz w:val="20"/>
        </w:rPr>
      </w:pPr>
      <w:r>
        <w:rPr>
          <w:rFonts w:ascii="Arial" w:hAnsi="Arial" w:cs="Arial"/>
          <w:b/>
          <w:sz w:val="20"/>
        </w:rPr>
        <w:t xml:space="preserve">Иво </w:t>
      </w:r>
      <w:r w:rsidR="00DA0251">
        <w:rPr>
          <w:rFonts w:ascii="Arial" w:hAnsi="Arial" w:cs="Arial"/>
          <w:b/>
          <w:sz w:val="20"/>
        </w:rPr>
        <w:t xml:space="preserve"> </w:t>
      </w:r>
      <w:r>
        <w:rPr>
          <w:rFonts w:ascii="Arial" w:hAnsi="Arial" w:cs="Arial"/>
          <w:b/>
          <w:sz w:val="20"/>
        </w:rPr>
        <w:t>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DA0251">
        <w:rPr>
          <w:rFonts w:ascii="Arial" w:hAnsi="Arial" w:cs="Arial"/>
          <w:b/>
          <w:sz w:val="20"/>
        </w:rPr>
        <w:t xml:space="preserve">        </w:t>
      </w:r>
      <w:r w:rsidR="006E7479" w:rsidRPr="00B14C47">
        <w:rPr>
          <w:rFonts w:ascii="Arial" w:hAnsi="Arial" w:cs="Arial"/>
          <w:b/>
          <w:sz w:val="20"/>
        </w:rPr>
        <w:t>„ФИСКОНСУЛТИНГ“ ООД</w:t>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7B075D6D"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D433CD">
        <w:rPr>
          <w:rFonts w:ascii="Arial" w:hAnsi="Arial" w:cs="Arial"/>
          <w:b/>
          <w:sz w:val="20"/>
        </w:rPr>
        <w:t>Януари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D433CD">
        <w:rPr>
          <w:rFonts w:ascii="Arial" w:hAnsi="Arial" w:cs="Arial"/>
          <w:b/>
          <w:sz w:val="20"/>
        </w:rPr>
        <w:t>6</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3530C98A" w14:textId="77777777" w:rsidR="00FB0D5A" w:rsidRPr="00800E94" w:rsidRDefault="00FB0D5A" w:rsidP="00800E94">
      <w:pPr>
        <w:rPr>
          <w:rFonts w:ascii="Arial" w:hAnsi="Arial" w:cs="Arial"/>
          <w:b/>
          <w:sz w:val="20"/>
          <w:lang w:val="en-US"/>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4C159D00" w14:textId="77777777" w:rsidR="0062161C"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7434DDD1" w14:textId="6056CA44"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4970" w:history="1">
        <w:r w:rsidRPr="00FF728B">
          <w:rPr>
            <w:rStyle w:val="Hyperlink"/>
            <w:rFonts w:ascii="Arial" w:hAnsi="Arial" w:cs="Arial"/>
          </w:rPr>
          <w:t>ИНДИВИДУАЛЕН ГОДИШЕН ФИНАНСОВ ОТЧЕТ</w:t>
        </w:r>
        <w:r>
          <w:rPr>
            <w:webHidden/>
          </w:rPr>
          <w:tab/>
        </w:r>
        <w:r>
          <w:rPr>
            <w:webHidden/>
          </w:rPr>
          <w:fldChar w:fldCharType="begin"/>
        </w:r>
        <w:r>
          <w:rPr>
            <w:webHidden/>
          </w:rPr>
          <w:instrText xml:space="preserve"> PAGEREF _Toc195004970 \h </w:instrText>
        </w:r>
        <w:r>
          <w:rPr>
            <w:webHidden/>
          </w:rPr>
        </w:r>
        <w:r>
          <w:rPr>
            <w:webHidden/>
          </w:rPr>
          <w:fldChar w:fldCharType="separate"/>
        </w:r>
        <w:r w:rsidR="00DA0251">
          <w:rPr>
            <w:webHidden/>
          </w:rPr>
          <w:t>9</w:t>
        </w:r>
        <w:r>
          <w:rPr>
            <w:webHidden/>
          </w:rPr>
          <w:fldChar w:fldCharType="end"/>
        </w:r>
      </w:hyperlink>
    </w:p>
    <w:p w14:paraId="2B2E8C72" w14:textId="1FBEE9D1"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4971" w:history="1">
        <w:r w:rsidRPr="00FF728B">
          <w:rPr>
            <w:rStyle w:val="Hyperlink"/>
            <w:rFonts w:ascii="Arial" w:hAnsi="Arial" w:cs="Arial"/>
          </w:rPr>
          <w:t>I. ОБЩА ИНФОРМАЦИЯ</w:t>
        </w:r>
        <w:r>
          <w:rPr>
            <w:webHidden/>
          </w:rPr>
          <w:tab/>
        </w:r>
        <w:r>
          <w:rPr>
            <w:webHidden/>
          </w:rPr>
          <w:fldChar w:fldCharType="begin"/>
        </w:r>
        <w:r>
          <w:rPr>
            <w:webHidden/>
          </w:rPr>
          <w:instrText xml:space="preserve"> PAGEREF _Toc195004971 \h </w:instrText>
        </w:r>
        <w:r>
          <w:rPr>
            <w:webHidden/>
          </w:rPr>
        </w:r>
        <w:r>
          <w:rPr>
            <w:webHidden/>
          </w:rPr>
          <w:fldChar w:fldCharType="separate"/>
        </w:r>
        <w:r w:rsidR="00DA0251">
          <w:rPr>
            <w:webHidden/>
          </w:rPr>
          <w:t>9</w:t>
        </w:r>
        <w:r>
          <w:rPr>
            <w:webHidden/>
          </w:rPr>
          <w:fldChar w:fldCharType="end"/>
        </w:r>
      </w:hyperlink>
    </w:p>
    <w:p w14:paraId="33CEAC16" w14:textId="3979FAD0"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4972" w:history="1">
        <w:r w:rsidRPr="00FF728B">
          <w:rPr>
            <w:rStyle w:val="Hyperlink"/>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_Toc195004972 \h </w:instrText>
        </w:r>
        <w:r>
          <w:rPr>
            <w:webHidden/>
          </w:rPr>
        </w:r>
        <w:r>
          <w:rPr>
            <w:webHidden/>
          </w:rPr>
          <w:fldChar w:fldCharType="separate"/>
        </w:r>
        <w:r w:rsidR="00DA0251">
          <w:rPr>
            <w:webHidden/>
          </w:rPr>
          <w:t>10</w:t>
        </w:r>
        <w:r>
          <w:rPr>
            <w:webHidden/>
          </w:rPr>
          <w:fldChar w:fldCharType="end"/>
        </w:r>
      </w:hyperlink>
    </w:p>
    <w:p w14:paraId="1AAC8416" w14:textId="37DBD455"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3" w:history="1">
        <w:r w:rsidRPr="00FF728B">
          <w:rPr>
            <w:rStyle w:val="Hyperlink"/>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_Toc195004973 \h </w:instrText>
        </w:r>
        <w:r>
          <w:rPr>
            <w:noProof/>
            <w:webHidden/>
          </w:rPr>
        </w:r>
        <w:r>
          <w:rPr>
            <w:noProof/>
            <w:webHidden/>
          </w:rPr>
          <w:fldChar w:fldCharType="separate"/>
        </w:r>
        <w:r w:rsidR="00DA0251">
          <w:rPr>
            <w:noProof/>
            <w:webHidden/>
          </w:rPr>
          <w:t>10</w:t>
        </w:r>
        <w:r>
          <w:rPr>
            <w:noProof/>
            <w:webHidden/>
          </w:rPr>
          <w:fldChar w:fldCharType="end"/>
        </w:r>
      </w:hyperlink>
    </w:p>
    <w:p w14:paraId="67540D64" w14:textId="1034B4C8"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4" w:history="1">
        <w:r w:rsidRPr="00FF728B">
          <w:rPr>
            <w:rStyle w:val="Hyperlink"/>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_Toc195004974 \h </w:instrText>
        </w:r>
        <w:r>
          <w:rPr>
            <w:noProof/>
            <w:webHidden/>
          </w:rPr>
        </w:r>
        <w:r>
          <w:rPr>
            <w:noProof/>
            <w:webHidden/>
          </w:rPr>
          <w:fldChar w:fldCharType="separate"/>
        </w:r>
        <w:r w:rsidR="00DA0251">
          <w:rPr>
            <w:noProof/>
            <w:webHidden/>
          </w:rPr>
          <w:t>10</w:t>
        </w:r>
        <w:r>
          <w:rPr>
            <w:noProof/>
            <w:webHidden/>
          </w:rPr>
          <w:fldChar w:fldCharType="end"/>
        </w:r>
      </w:hyperlink>
    </w:p>
    <w:p w14:paraId="1E92A785" w14:textId="3E17B1BF"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5" w:history="1">
        <w:r w:rsidRPr="00FF728B">
          <w:rPr>
            <w:rStyle w:val="Hyperlink"/>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_Toc195004975 \h </w:instrText>
        </w:r>
        <w:r>
          <w:rPr>
            <w:noProof/>
            <w:webHidden/>
          </w:rPr>
        </w:r>
        <w:r>
          <w:rPr>
            <w:noProof/>
            <w:webHidden/>
          </w:rPr>
          <w:fldChar w:fldCharType="separate"/>
        </w:r>
        <w:r w:rsidR="00DA0251">
          <w:rPr>
            <w:noProof/>
            <w:webHidden/>
          </w:rPr>
          <w:t>10</w:t>
        </w:r>
        <w:r>
          <w:rPr>
            <w:noProof/>
            <w:webHidden/>
          </w:rPr>
          <w:fldChar w:fldCharType="end"/>
        </w:r>
      </w:hyperlink>
    </w:p>
    <w:p w14:paraId="7B316C42" w14:textId="6F0A293D"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6" w:history="1">
        <w:r w:rsidRPr="00FF728B">
          <w:rPr>
            <w:rStyle w:val="Hyperlink"/>
            <w:rFonts w:ascii="Arial" w:hAnsi="Arial" w:cs="Arial"/>
            <w:noProof/>
          </w:rPr>
          <w:t>База за изготвяне</w:t>
        </w:r>
        <w:r>
          <w:rPr>
            <w:noProof/>
            <w:webHidden/>
          </w:rPr>
          <w:tab/>
        </w:r>
        <w:r>
          <w:rPr>
            <w:noProof/>
            <w:webHidden/>
          </w:rPr>
          <w:fldChar w:fldCharType="begin"/>
        </w:r>
        <w:r>
          <w:rPr>
            <w:noProof/>
            <w:webHidden/>
          </w:rPr>
          <w:instrText xml:space="preserve"> PAGEREF _Toc195004976 \h </w:instrText>
        </w:r>
        <w:r>
          <w:rPr>
            <w:noProof/>
            <w:webHidden/>
          </w:rPr>
        </w:r>
        <w:r>
          <w:rPr>
            <w:noProof/>
            <w:webHidden/>
          </w:rPr>
          <w:fldChar w:fldCharType="separate"/>
        </w:r>
        <w:r w:rsidR="00DA0251">
          <w:rPr>
            <w:noProof/>
            <w:webHidden/>
          </w:rPr>
          <w:t>10</w:t>
        </w:r>
        <w:r>
          <w:rPr>
            <w:noProof/>
            <w:webHidden/>
          </w:rPr>
          <w:fldChar w:fldCharType="end"/>
        </w:r>
      </w:hyperlink>
    </w:p>
    <w:p w14:paraId="3213231A" w14:textId="00589693"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7" w:history="1">
        <w:r w:rsidRPr="00FF728B">
          <w:rPr>
            <w:rStyle w:val="Hyperlink"/>
            <w:rFonts w:ascii="Arial" w:hAnsi="Arial" w:cs="Arial"/>
            <w:noProof/>
          </w:rPr>
          <w:t>База за изготвяне - Промени в счетоводната политика</w:t>
        </w:r>
        <w:r>
          <w:rPr>
            <w:noProof/>
            <w:webHidden/>
          </w:rPr>
          <w:tab/>
        </w:r>
        <w:r>
          <w:rPr>
            <w:noProof/>
            <w:webHidden/>
          </w:rPr>
          <w:fldChar w:fldCharType="begin"/>
        </w:r>
        <w:r>
          <w:rPr>
            <w:noProof/>
            <w:webHidden/>
          </w:rPr>
          <w:instrText xml:space="preserve"> PAGEREF _Toc195004977 \h </w:instrText>
        </w:r>
        <w:r>
          <w:rPr>
            <w:noProof/>
            <w:webHidden/>
          </w:rPr>
        </w:r>
        <w:r>
          <w:rPr>
            <w:noProof/>
            <w:webHidden/>
          </w:rPr>
          <w:fldChar w:fldCharType="separate"/>
        </w:r>
        <w:r w:rsidR="00DA0251">
          <w:rPr>
            <w:noProof/>
            <w:webHidden/>
          </w:rPr>
          <w:t>13</w:t>
        </w:r>
        <w:r>
          <w:rPr>
            <w:noProof/>
            <w:webHidden/>
          </w:rPr>
          <w:fldChar w:fldCharType="end"/>
        </w:r>
      </w:hyperlink>
    </w:p>
    <w:p w14:paraId="2336717E" w14:textId="31C8830A"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8" w:history="1">
        <w:r w:rsidRPr="00FF728B">
          <w:rPr>
            <w:rStyle w:val="Hyperlink"/>
            <w:rFonts w:ascii="Arial" w:hAnsi="Arial" w:cs="Arial"/>
            <w:noProof/>
          </w:rPr>
          <w:t>Минимална сравнителна информация</w:t>
        </w:r>
        <w:r>
          <w:rPr>
            <w:noProof/>
            <w:webHidden/>
          </w:rPr>
          <w:tab/>
        </w:r>
        <w:r>
          <w:rPr>
            <w:noProof/>
            <w:webHidden/>
          </w:rPr>
          <w:fldChar w:fldCharType="begin"/>
        </w:r>
        <w:r>
          <w:rPr>
            <w:noProof/>
            <w:webHidden/>
          </w:rPr>
          <w:instrText xml:space="preserve"> PAGEREF _Toc195004978 \h </w:instrText>
        </w:r>
        <w:r>
          <w:rPr>
            <w:noProof/>
            <w:webHidden/>
          </w:rPr>
        </w:r>
        <w:r>
          <w:rPr>
            <w:noProof/>
            <w:webHidden/>
          </w:rPr>
          <w:fldChar w:fldCharType="separate"/>
        </w:r>
        <w:r w:rsidR="00DA0251">
          <w:rPr>
            <w:noProof/>
            <w:webHidden/>
          </w:rPr>
          <w:t>13</w:t>
        </w:r>
        <w:r>
          <w:rPr>
            <w:noProof/>
            <w:webHidden/>
          </w:rPr>
          <w:fldChar w:fldCharType="end"/>
        </w:r>
      </w:hyperlink>
    </w:p>
    <w:p w14:paraId="7AACA877" w14:textId="68A09271"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9" w:history="1">
        <w:r w:rsidRPr="00FF728B">
          <w:rPr>
            <w:rStyle w:val="Hyperlink"/>
            <w:rFonts w:ascii="Arial" w:hAnsi="Arial" w:cs="Arial"/>
            <w:noProof/>
          </w:rPr>
          <w:t>Оповестявания на обезценка в отчетите, публикувани през 2025г.</w:t>
        </w:r>
        <w:r>
          <w:rPr>
            <w:noProof/>
            <w:webHidden/>
          </w:rPr>
          <w:tab/>
        </w:r>
        <w:r>
          <w:rPr>
            <w:noProof/>
            <w:webHidden/>
          </w:rPr>
          <w:fldChar w:fldCharType="begin"/>
        </w:r>
        <w:r>
          <w:rPr>
            <w:noProof/>
            <w:webHidden/>
          </w:rPr>
          <w:instrText xml:space="preserve"> PAGEREF _Toc195004979 \h </w:instrText>
        </w:r>
        <w:r>
          <w:rPr>
            <w:noProof/>
            <w:webHidden/>
          </w:rPr>
        </w:r>
        <w:r>
          <w:rPr>
            <w:noProof/>
            <w:webHidden/>
          </w:rPr>
          <w:fldChar w:fldCharType="separate"/>
        </w:r>
        <w:r w:rsidR="00DA0251">
          <w:rPr>
            <w:noProof/>
            <w:webHidden/>
          </w:rPr>
          <w:t>13</w:t>
        </w:r>
        <w:r>
          <w:rPr>
            <w:noProof/>
            <w:webHidden/>
          </w:rPr>
          <w:fldChar w:fldCharType="end"/>
        </w:r>
      </w:hyperlink>
    </w:p>
    <w:p w14:paraId="4CC7D830" w14:textId="05950C91"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0" w:history="1">
        <w:r w:rsidRPr="00FF728B">
          <w:rPr>
            <w:rStyle w:val="Hyperlink"/>
            <w:rFonts w:ascii="Arial" w:hAnsi="Arial" w:cs="Arial"/>
            <w:noProof/>
          </w:rPr>
          <w:t>Бази за оценяване, използвани при изготвянето на финансовите отчети</w:t>
        </w:r>
        <w:r>
          <w:rPr>
            <w:noProof/>
            <w:webHidden/>
          </w:rPr>
          <w:tab/>
        </w:r>
        <w:r>
          <w:rPr>
            <w:noProof/>
            <w:webHidden/>
          </w:rPr>
          <w:fldChar w:fldCharType="begin"/>
        </w:r>
        <w:r>
          <w:rPr>
            <w:noProof/>
            <w:webHidden/>
          </w:rPr>
          <w:instrText xml:space="preserve"> PAGEREF _Toc195004980 \h </w:instrText>
        </w:r>
        <w:r>
          <w:rPr>
            <w:noProof/>
            <w:webHidden/>
          </w:rPr>
        </w:r>
        <w:r>
          <w:rPr>
            <w:noProof/>
            <w:webHidden/>
          </w:rPr>
          <w:fldChar w:fldCharType="separate"/>
        </w:r>
        <w:r w:rsidR="00DA0251">
          <w:rPr>
            <w:noProof/>
            <w:webHidden/>
          </w:rPr>
          <w:t>13</w:t>
        </w:r>
        <w:r>
          <w:rPr>
            <w:noProof/>
            <w:webHidden/>
          </w:rPr>
          <w:fldChar w:fldCharType="end"/>
        </w:r>
      </w:hyperlink>
    </w:p>
    <w:p w14:paraId="29BD8620" w14:textId="720794A2"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1" w:history="1">
        <w:r w:rsidRPr="00FF728B">
          <w:rPr>
            <w:rStyle w:val="Hyperlink"/>
            <w:rFonts w:ascii="Arial" w:hAnsi="Arial" w:cs="Arial"/>
            <w:noProof/>
          </w:rPr>
          <w:t>Критични счетоводни преценки</w:t>
        </w:r>
        <w:r>
          <w:rPr>
            <w:noProof/>
            <w:webHidden/>
          </w:rPr>
          <w:tab/>
        </w:r>
        <w:r>
          <w:rPr>
            <w:noProof/>
            <w:webHidden/>
          </w:rPr>
          <w:fldChar w:fldCharType="begin"/>
        </w:r>
        <w:r>
          <w:rPr>
            <w:noProof/>
            <w:webHidden/>
          </w:rPr>
          <w:instrText xml:space="preserve"> PAGEREF _Toc195004981 \h </w:instrText>
        </w:r>
        <w:r>
          <w:rPr>
            <w:noProof/>
            <w:webHidden/>
          </w:rPr>
        </w:r>
        <w:r>
          <w:rPr>
            <w:noProof/>
            <w:webHidden/>
          </w:rPr>
          <w:fldChar w:fldCharType="separate"/>
        </w:r>
        <w:r w:rsidR="00DA0251">
          <w:rPr>
            <w:noProof/>
            <w:webHidden/>
          </w:rPr>
          <w:t>14</w:t>
        </w:r>
        <w:r>
          <w:rPr>
            <w:noProof/>
            <w:webHidden/>
          </w:rPr>
          <w:fldChar w:fldCharType="end"/>
        </w:r>
      </w:hyperlink>
    </w:p>
    <w:p w14:paraId="66CF478C" w14:textId="084A58A7"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2" w:history="1">
        <w:r w:rsidRPr="00FF728B">
          <w:rPr>
            <w:rStyle w:val="Hyperlink"/>
            <w:rFonts w:ascii="Arial" w:hAnsi="Arial" w:cs="Arial"/>
            <w:noProof/>
          </w:rPr>
          <w:t>Оповестявания за комплекта финансови отчети</w:t>
        </w:r>
        <w:r>
          <w:rPr>
            <w:noProof/>
            <w:webHidden/>
          </w:rPr>
          <w:tab/>
        </w:r>
        <w:r>
          <w:rPr>
            <w:noProof/>
            <w:webHidden/>
          </w:rPr>
          <w:fldChar w:fldCharType="begin"/>
        </w:r>
        <w:r>
          <w:rPr>
            <w:noProof/>
            <w:webHidden/>
          </w:rPr>
          <w:instrText xml:space="preserve"> PAGEREF _Toc195004982 \h </w:instrText>
        </w:r>
        <w:r>
          <w:rPr>
            <w:noProof/>
            <w:webHidden/>
          </w:rPr>
        </w:r>
        <w:r>
          <w:rPr>
            <w:noProof/>
            <w:webHidden/>
          </w:rPr>
          <w:fldChar w:fldCharType="separate"/>
        </w:r>
        <w:r w:rsidR="00DA0251">
          <w:rPr>
            <w:noProof/>
            <w:webHidden/>
          </w:rPr>
          <w:t>14</w:t>
        </w:r>
        <w:r>
          <w:rPr>
            <w:noProof/>
            <w:webHidden/>
          </w:rPr>
          <w:fldChar w:fldCharType="end"/>
        </w:r>
      </w:hyperlink>
    </w:p>
    <w:p w14:paraId="38F8C277" w14:textId="1F0D635D"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3" w:history="1">
        <w:r w:rsidRPr="00FF728B">
          <w:rPr>
            <w:rStyle w:val="Hyperlink"/>
            <w:rFonts w:ascii="Arial" w:hAnsi="Arial" w:cs="Arial"/>
            <w:noProof/>
          </w:rPr>
          <w:t>Допустимо алтернативно третиране</w:t>
        </w:r>
        <w:r>
          <w:rPr>
            <w:noProof/>
            <w:webHidden/>
          </w:rPr>
          <w:tab/>
        </w:r>
        <w:r>
          <w:rPr>
            <w:noProof/>
            <w:webHidden/>
          </w:rPr>
          <w:fldChar w:fldCharType="begin"/>
        </w:r>
        <w:r>
          <w:rPr>
            <w:noProof/>
            <w:webHidden/>
          </w:rPr>
          <w:instrText xml:space="preserve"> PAGEREF _Toc195004983 \h </w:instrText>
        </w:r>
        <w:r>
          <w:rPr>
            <w:noProof/>
            <w:webHidden/>
          </w:rPr>
        </w:r>
        <w:r>
          <w:rPr>
            <w:noProof/>
            <w:webHidden/>
          </w:rPr>
          <w:fldChar w:fldCharType="separate"/>
        </w:r>
        <w:r w:rsidR="00DA0251">
          <w:rPr>
            <w:noProof/>
            <w:webHidden/>
          </w:rPr>
          <w:t>14</w:t>
        </w:r>
        <w:r>
          <w:rPr>
            <w:noProof/>
            <w:webHidden/>
          </w:rPr>
          <w:fldChar w:fldCharType="end"/>
        </w:r>
      </w:hyperlink>
    </w:p>
    <w:p w14:paraId="3A492BB1" w14:textId="0D94B435"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4" w:history="1">
        <w:r w:rsidRPr="00FF728B">
          <w:rPr>
            <w:rStyle w:val="Hyperlink"/>
            <w:rFonts w:ascii="Arial" w:hAnsi="Arial" w:cs="Arial"/>
            <w:noProof/>
          </w:rPr>
          <w:t>Финансов обзор от ръководството</w:t>
        </w:r>
        <w:r>
          <w:rPr>
            <w:noProof/>
            <w:webHidden/>
          </w:rPr>
          <w:tab/>
        </w:r>
        <w:r>
          <w:rPr>
            <w:noProof/>
            <w:webHidden/>
          </w:rPr>
          <w:fldChar w:fldCharType="begin"/>
        </w:r>
        <w:r>
          <w:rPr>
            <w:noProof/>
            <w:webHidden/>
          </w:rPr>
          <w:instrText xml:space="preserve"> PAGEREF _Toc195004984 \h </w:instrText>
        </w:r>
        <w:r>
          <w:rPr>
            <w:noProof/>
            <w:webHidden/>
          </w:rPr>
        </w:r>
        <w:r>
          <w:rPr>
            <w:noProof/>
            <w:webHidden/>
          </w:rPr>
          <w:fldChar w:fldCharType="separate"/>
        </w:r>
        <w:r w:rsidR="00DA0251">
          <w:rPr>
            <w:noProof/>
            <w:webHidden/>
          </w:rPr>
          <w:t>15</w:t>
        </w:r>
        <w:r>
          <w:rPr>
            <w:noProof/>
            <w:webHidden/>
          </w:rPr>
          <w:fldChar w:fldCharType="end"/>
        </w:r>
      </w:hyperlink>
    </w:p>
    <w:p w14:paraId="241E04B0" w14:textId="407AA18C"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5" w:history="1">
        <w:r w:rsidRPr="00FF728B">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_Toc195004985 \h </w:instrText>
        </w:r>
        <w:r>
          <w:rPr>
            <w:noProof/>
            <w:webHidden/>
          </w:rPr>
        </w:r>
        <w:r>
          <w:rPr>
            <w:noProof/>
            <w:webHidden/>
          </w:rPr>
          <w:fldChar w:fldCharType="separate"/>
        </w:r>
        <w:r w:rsidR="00DA0251">
          <w:rPr>
            <w:noProof/>
            <w:webHidden/>
          </w:rPr>
          <w:t>15</w:t>
        </w:r>
        <w:r>
          <w:rPr>
            <w:noProof/>
            <w:webHidden/>
          </w:rPr>
          <w:fldChar w:fldCharType="end"/>
        </w:r>
      </w:hyperlink>
    </w:p>
    <w:p w14:paraId="2EA6902E" w14:textId="41C1CC36"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6" w:history="1">
        <w:r w:rsidRPr="00FF728B">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_Toc195004986 \h </w:instrText>
        </w:r>
        <w:r>
          <w:rPr>
            <w:noProof/>
            <w:webHidden/>
          </w:rPr>
        </w:r>
        <w:r>
          <w:rPr>
            <w:noProof/>
            <w:webHidden/>
          </w:rPr>
          <w:fldChar w:fldCharType="separate"/>
        </w:r>
        <w:r w:rsidR="00DA0251">
          <w:rPr>
            <w:noProof/>
            <w:webHidden/>
          </w:rPr>
          <w:t>15</w:t>
        </w:r>
        <w:r>
          <w:rPr>
            <w:noProof/>
            <w:webHidden/>
          </w:rPr>
          <w:fldChar w:fldCharType="end"/>
        </w:r>
      </w:hyperlink>
    </w:p>
    <w:p w14:paraId="46F6100C" w14:textId="76537287"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7" w:history="1">
        <w:r w:rsidRPr="00FF728B">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_Toc195004987 \h </w:instrText>
        </w:r>
        <w:r>
          <w:rPr>
            <w:noProof/>
            <w:webHidden/>
          </w:rPr>
        </w:r>
        <w:r>
          <w:rPr>
            <w:noProof/>
            <w:webHidden/>
          </w:rPr>
          <w:fldChar w:fldCharType="separate"/>
        </w:r>
        <w:r w:rsidR="00DA0251">
          <w:rPr>
            <w:noProof/>
            <w:webHidden/>
          </w:rPr>
          <w:t>16</w:t>
        </w:r>
        <w:r>
          <w:rPr>
            <w:noProof/>
            <w:webHidden/>
          </w:rPr>
          <w:fldChar w:fldCharType="end"/>
        </w:r>
      </w:hyperlink>
    </w:p>
    <w:p w14:paraId="68D2864E" w14:textId="7271780C"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8" w:history="1">
        <w:r w:rsidRPr="00FF728B">
          <w:rPr>
            <w:rStyle w:val="Hyperlink"/>
            <w:rFonts w:ascii="Arial" w:hAnsi="Arial" w:cs="Arial"/>
            <w:b/>
            <w:bCs/>
            <w:iCs/>
            <w:noProof/>
          </w:rPr>
          <w:t>Инвестиции в дъщерни предприятия</w:t>
        </w:r>
        <w:r>
          <w:rPr>
            <w:noProof/>
            <w:webHidden/>
          </w:rPr>
          <w:tab/>
        </w:r>
        <w:r>
          <w:rPr>
            <w:noProof/>
            <w:webHidden/>
          </w:rPr>
          <w:fldChar w:fldCharType="begin"/>
        </w:r>
        <w:r>
          <w:rPr>
            <w:noProof/>
            <w:webHidden/>
          </w:rPr>
          <w:instrText xml:space="preserve"> PAGEREF _Toc195004988 \h </w:instrText>
        </w:r>
        <w:r>
          <w:rPr>
            <w:noProof/>
            <w:webHidden/>
          </w:rPr>
        </w:r>
        <w:r>
          <w:rPr>
            <w:noProof/>
            <w:webHidden/>
          </w:rPr>
          <w:fldChar w:fldCharType="separate"/>
        </w:r>
        <w:r w:rsidR="00DA0251">
          <w:rPr>
            <w:noProof/>
            <w:webHidden/>
          </w:rPr>
          <w:t>16</w:t>
        </w:r>
        <w:r>
          <w:rPr>
            <w:noProof/>
            <w:webHidden/>
          </w:rPr>
          <w:fldChar w:fldCharType="end"/>
        </w:r>
      </w:hyperlink>
    </w:p>
    <w:p w14:paraId="6F775864" w14:textId="47D35894"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9" w:history="1">
        <w:r w:rsidRPr="00FF728B">
          <w:rPr>
            <w:rStyle w:val="Hyperlink"/>
            <w:rFonts w:ascii="Arial" w:hAnsi="Arial" w:cs="Arial"/>
            <w:noProof/>
          </w:rPr>
          <w:t>Финансови инструменти</w:t>
        </w:r>
        <w:r>
          <w:rPr>
            <w:noProof/>
            <w:webHidden/>
          </w:rPr>
          <w:tab/>
        </w:r>
        <w:r>
          <w:rPr>
            <w:noProof/>
            <w:webHidden/>
          </w:rPr>
          <w:fldChar w:fldCharType="begin"/>
        </w:r>
        <w:r>
          <w:rPr>
            <w:noProof/>
            <w:webHidden/>
          </w:rPr>
          <w:instrText xml:space="preserve"> PAGEREF _Toc195004989 \h </w:instrText>
        </w:r>
        <w:r>
          <w:rPr>
            <w:noProof/>
            <w:webHidden/>
          </w:rPr>
        </w:r>
        <w:r>
          <w:rPr>
            <w:noProof/>
            <w:webHidden/>
          </w:rPr>
          <w:fldChar w:fldCharType="separate"/>
        </w:r>
        <w:r w:rsidR="00DA0251">
          <w:rPr>
            <w:noProof/>
            <w:webHidden/>
          </w:rPr>
          <w:t>17</w:t>
        </w:r>
        <w:r>
          <w:rPr>
            <w:noProof/>
            <w:webHidden/>
          </w:rPr>
          <w:fldChar w:fldCharType="end"/>
        </w:r>
      </w:hyperlink>
    </w:p>
    <w:p w14:paraId="5086F069" w14:textId="41CF2C73"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0" w:history="1">
        <w:r w:rsidRPr="00FF728B">
          <w:rPr>
            <w:rStyle w:val="Hyperlink"/>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_Toc195004990 \h </w:instrText>
        </w:r>
        <w:r>
          <w:rPr>
            <w:noProof/>
            <w:webHidden/>
          </w:rPr>
        </w:r>
        <w:r>
          <w:rPr>
            <w:noProof/>
            <w:webHidden/>
          </w:rPr>
          <w:fldChar w:fldCharType="separate"/>
        </w:r>
        <w:r w:rsidR="00DA0251">
          <w:rPr>
            <w:noProof/>
            <w:webHidden/>
          </w:rPr>
          <w:t>17</w:t>
        </w:r>
        <w:r>
          <w:rPr>
            <w:noProof/>
            <w:webHidden/>
          </w:rPr>
          <w:fldChar w:fldCharType="end"/>
        </w:r>
      </w:hyperlink>
    </w:p>
    <w:p w14:paraId="63C1BE30" w14:textId="6118F7C4"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1" w:history="1">
        <w:r w:rsidRPr="00FF728B">
          <w:rPr>
            <w:rStyle w:val="Hyperlink"/>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_Toc195004991 \h </w:instrText>
        </w:r>
        <w:r>
          <w:rPr>
            <w:noProof/>
            <w:webHidden/>
          </w:rPr>
        </w:r>
        <w:r>
          <w:rPr>
            <w:noProof/>
            <w:webHidden/>
          </w:rPr>
          <w:fldChar w:fldCharType="separate"/>
        </w:r>
        <w:r w:rsidR="00DA0251">
          <w:rPr>
            <w:noProof/>
            <w:webHidden/>
          </w:rPr>
          <w:t>18</w:t>
        </w:r>
        <w:r>
          <w:rPr>
            <w:noProof/>
            <w:webHidden/>
          </w:rPr>
          <w:fldChar w:fldCharType="end"/>
        </w:r>
      </w:hyperlink>
    </w:p>
    <w:p w14:paraId="1AAA33AC" w14:textId="32853386"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2" w:history="1">
        <w:r w:rsidRPr="00FF728B">
          <w:rPr>
            <w:rStyle w:val="Hyperlink"/>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_Toc195004992 \h </w:instrText>
        </w:r>
        <w:r>
          <w:rPr>
            <w:noProof/>
            <w:webHidden/>
          </w:rPr>
        </w:r>
        <w:r>
          <w:rPr>
            <w:noProof/>
            <w:webHidden/>
          </w:rPr>
          <w:fldChar w:fldCharType="separate"/>
        </w:r>
        <w:r w:rsidR="00DA0251">
          <w:rPr>
            <w:noProof/>
            <w:webHidden/>
          </w:rPr>
          <w:t>18</w:t>
        </w:r>
        <w:r>
          <w:rPr>
            <w:noProof/>
            <w:webHidden/>
          </w:rPr>
          <w:fldChar w:fldCharType="end"/>
        </w:r>
      </w:hyperlink>
    </w:p>
    <w:p w14:paraId="0E8D071C" w14:textId="632C5496"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3" w:history="1">
        <w:r w:rsidRPr="00FF728B">
          <w:rPr>
            <w:rStyle w:val="Hyperlink"/>
            <w:rFonts w:ascii="Arial" w:hAnsi="Arial" w:cs="Arial"/>
            <w:b/>
            <w:bCs/>
            <w:noProof/>
            <w:lang w:val="en-US"/>
          </w:rPr>
          <w:t>Последваща оценка на финансови пасиви</w:t>
        </w:r>
        <w:r>
          <w:rPr>
            <w:noProof/>
            <w:webHidden/>
          </w:rPr>
          <w:tab/>
        </w:r>
        <w:r>
          <w:rPr>
            <w:noProof/>
            <w:webHidden/>
          </w:rPr>
          <w:fldChar w:fldCharType="begin"/>
        </w:r>
        <w:r>
          <w:rPr>
            <w:noProof/>
            <w:webHidden/>
          </w:rPr>
          <w:instrText xml:space="preserve"> PAGEREF _Toc195004993 \h </w:instrText>
        </w:r>
        <w:r>
          <w:rPr>
            <w:noProof/>
            <w:webHidden/>
          </w:rPr>
        </w:r>
        <w:r>
          <w:rPr>
            <w:noProof/>
            <w:webHidden/>
          </w:rPr>
          <w:fldChar w:fldCharType="separate"/>
        </w:r>
        <w:r w:rsidR="00DA0251">
          <w:rPr>
            <w:noProof/>
            <w:webHidden/>
          </w:rPr>
          <w:t>19</w:t>
        </w:r>
        <w:r>
          <w:rPr>
            <w:noProof/>
            <w:webHidden/>
          </w:rPr>
          <w:fldChar w:fldCharType="end"/>
        </w:r>
      </w:hyperlink>
    </w:p>
    <w:p w14:paraId="5356646F" w14:textId="7E1B6E4A"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4" w:history="1">
        <w:r w:rsidRPr="00FF728B">
          <w:rPr>
            <w:rStyle w:val="Hyperlink"/>
            <w:rFonts w:ascii="Arial" w:hAnsi="Arial" w:cs="Arial"/>
            <w:b/>
            <w:bCs/>
            <w:noProof/>
            <w:lang w:val="en-US"/>
          </w:rPr>
          <w:t>Отписване на финансови пасиви</w:t>
        </w:r>
        <w:r>
          <w:rPr>
            <w:noProof/>
            <w:webHidden/>
          </w:rPr>
          <w:tab/>
        </w:r>
        <w:r>
          <w:rPr>
            <w:noProof/>
            <w:webHidden/>
          </w:rPr>
          <w:fldChar w:fldCharType="begin"/>
        </w:r>
        <w:r>
          <w:rPr>
            <w:noProof/>
            <w:webHidden/>
          </w:rPr>
          <w:instrText xml:space="preserve"> PAGEREF _Toc195004994 \h </w:instrText>
        </w:r>
        <w:r>
          <w:rPr>
            <w:noProof/>
            <w:webHidden/>
          </w:rPr>
        </w:r>
        <w:r>
          <w:rPr>
            <w:noProof/>
            <w:webHidden/>
          </w:rPr>
          <w:fldChar w:fldCharType="separate"/>
        </w:r>
        <w:r w:rsidR="00DA0251">
          <w:rPr>
            <w:noProof/>
            <w:webHidden/>
          </w:rPr>
          <w:t>19</w:t>
        </w:r>
        <w:r>
          <w:rPr>
            <w:noProof/>
            <w:webHidden/>
          </w:rPr>
          <w:fldChar w:fldCharType="end"/>
        </w:r>
      </w:hyperlink>
    </w:p>
    <w:p w14:paraId="3457D70F" w14:textId="5D782576"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5" w:history="1">
        <w:r w:rsidRPr="00FF728B">
          <w:rPr>
            <w:rStyle w:val="Hyperlink"/>
            <w:rFonts w:ascii="Arial" w:hAnsi="Arial" w:cs="Arial"/>
            <w:b/>
            <w:bCs/>
            <w:noProof/>
            <w:lang w:val="en-US"/>
          </w:rPr>
          <w:t>Лихвени кредити и заеми</w:t>
        </w:r>
        <w:r>
          <w:rPr>
            <w:noProof/>
            <w:webHidden/>
          </w:rPr>
          <w:tab/>
        </w:r>
        <w:r>
          <w:rPr>
            <w:noProof/>
            <w:webHidden/>
          </w:rPr>
          <w:fldChar w:fldCharType="begin"/>
        </w:r>
        <w:r>
          <w:rPr>
            <w:noProof/>
            <w:webHidden/>
          </w:rPr>
          <w:instrText xml:space="preserve"> PAGEREF _Toc195004995 \h </w:instrText>
        </w:r>
        <w:r>
          <w:rPr>
            <w:noProof/>
            <w:webHidden/>
          </w:rPr>
        </w:r>
        <w:r>
          <w:rPr>
            <w:noProof/>
            <w:webHidden/>
          </w:rPr>
          <w:fldChar w:fldCharType="separate"/>
        </w:r>
        <w:r w:rsidR="00DA0251">
          <w:rPr>
            <w:noProof/>
            <w:webHidden/>
          </w:rPr>
          <w:t>19</w:t>
        </w:r>
        <w:r>
          <w:rPr>
            <w:noProof/>
            <w:webHidden/>
          </w:rPr>
          <w:fldChar w:fldCharType="end"/>
        </w:r>
      </w:hyperlink>
    </w:p>
    <w:p w14:paraId="061A0DCC" w14:textId="332037D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7" w:history="1">
        <w:r w:rsidRPr="00FF728B">
          <w:rPr>
            <w:rStyle w:val="Hyperlink"/>
            <w:rFonts w:ascii="Arial" w:hAnsi="Arial" w:cs="Arial"/>
            <w:noProof/>
          </w:rPr>
          <w:t>Лихви, дивиденти, загуби и печалби</w:t>
        </w:r>
        <w:r>
          <w:rPr>
            <w:noProof/>
            <w:webHidden/>
          </w:rPr>
          <w:tab/>
        </w:r>
        <w:r>
          <w:rPr>
            <w:noProof/>
            <w:webHidden/>
          </w:rPr>
          <w:fldChar w:fldCharType="begin"/>
        </w:r>
        <w:r>
          <w:rPr>
            <w:noProof/>
            <w:webHidden/>
          </w:rPr>
          <w:instrText xml:space="preserve"> PAGEREF _Toc195004997 \h </w:instrText>
        </w:r>
        <w:r>
          <w:rPr>
            <w:noProof/>
            <w:webHidden/>
          </w:rPr>
        </w:r>
        <w:r>
          <w:rPr>
            <w:noProof/>
            <w:webHidden/>
          </w:rPr>
          <w:fldChar w:fldCharType="separate"/>
        </w:r>
        <w:r w:rsidR="00DA0251">
          <w:rPr>
            <w:noProof/>
            <w:webHidden/>
          </w:rPr>
          <w:t>19</w:t>
        </w:r>
        <w:r>
          <w:rPr>
            <w:noProof/>
            <w:webHidden/>
          </w:rPr>
          <w:fldChar w:fldCharType="end"/>
        </w:r>
      </w:hyperlink>
    </w:p>
    <w:p w14:paraId="308FEF14" w14:textId="4B0C4D21"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8" w:history="1">
        <w:r w:rsidRPr="00FF728B">
          <w:rPr>
            <w:rStyle w:val="Hyperlink"/>
            <w:rFonts w:ascii="Arial" w:hAnsi="Arial" w:cs="Arial"/>
            <w:noProof/>
          </w:rPr>
          <w:t>Компенсиране на финансов актив и финансов пасив</w:t>
        </w:r>
        <w:r>
          <w:rPr>
            <w:noProof/>
            <w:webHidden/>
          </w:rPr>
          <w:tab/>
        </w:r>
        <w:r>
          <w:rPr>
            <w:noProof/>
            <w:webHidden/>
          </w:rPr>
          <w:fldChar w:fldCharType="begin"/>
        </w:r>
        <w:r>
          <w:rPr>
            <w:noProof/>
            <w:webHidden/>
          </w:rPr>
          <w:instrText xml:space="preserve"> PAGEREF _Toc195004998 \h </w:instrText>
        </w:r>
        <w:r>
          <w:rPr>
            <w:noProof/>
            <w:webHidden/>
          </w:rPr>
        </w:r>
        <w:r>
          <w:rPr>
            <w:noProof/>
            <w:webHidden/>
          </w:rPr>
          <w:fldChar w:fldCharType="separate"/>
        </w:r>
        <w:r w:rsidR="00DA0251">
          <w:rPr>
            <w:noProof/>
            <w:webHidden/>
          </w:rPr>
          <w:t>20</w:t>
        </w:r>
        <w:r>
          <w:rPr>
            <w:noProof/>
            <w:webHidden/>
          </w:rPr>
          <w:fldChar w:fldCharType="end"/>
        </w:r>
      </w:hyperlink>
    </w:p>
    <w:p w14:paraId="1CD38CF0" w14:textId="0CA523E5"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9" w:history="1">
        <w:r w:rsidRPr="00FF728B">
          <w:rPr>
            <w:rStyle w:val="Hyperlink"/>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_Toc195004999 \h </w:instrText>
        </w:r>
        <w:r>
          <w:rPr>
            <w:noProof/>
            <w:webHidden/>
          </w:rPr>
        </w:r>
        <w:r>
          <w:rPr>
            <w:noProof/>
            <w:webHidden/>
          </w:rPr>
          <w:fldChar w:fldCharType="separate"/>
        </w:r>
        <w:r w:rsidR="00DA0251">
          <w:rPr>
            <w:noProof/>
            <w:webHidden/>
          </w:rPr>
          <w:t>20</w:t>
        </w:r>
        <w:r>
          <w:rPr>
            <w:noProof/>
            <w:webHidden/>
          </w:rPr>
          <w:fldChar w:fldCharType="end"/>
        </w:r>
      </w:hyperlink>
    </w:p>
    <w:p w14:paraId="7AD28F47" w14:textId="69F3B092"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0" w:history="1">
        <w:r w:rsidRPr="00FF728B">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_Toc195005000 \h </w:instrText>
        </w:r>
        <w:r>
          <w:rPr>
            <w:noProof/>
            <w:webHidden/>
          </w:rPr>
        </w:r>
        <w:r>
          <w:rPr>
            <w:noProof/>
            <w:webHidden/>
          </w:rPr>
          <w:fldChar w:fldCharType="separate"/>
        </w:r>
        <w:r w:rsidR="00DA0251">
          <w:rPr>
            <w:noProof/>
            <w:webHidden/>
          </w:rPr>
          <w:t>20</w:t>
        </w:r>
        <w:r>
          <w:rPr>
            <w:noProof/>
            <w:webHidden/>
          </w:rPr>
          <w:fldChar w:fldCharType="end"/>
        </w:r>
      </w:hyperlink>
    </w:p>
    <w:p w14:paraId="7ACF8A8E" w14:textId="08374535"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1" w:history="1">
        <w:r w:rsidRPr="00FF728B">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_Toc195005001 \h </w:instrText>
        </w:r>
        <w:r>
          <w:rPr>
            <w:noProof/>
            <w:webHidden/>
          </w:rPr>
        </w:r>
        <w:r>
          <w:rPr>
            <w:noProof/>
            <w:webHidden/>
          </w:rPr>
          <w:fldChar w:fldCharType="separate"/>
        </w:r>
        <w:r w:rsidR="00DA0251">
          <w:rPr>
            <w:noProof/>
            <w:webHidden/>
          </w:rPr>
          <w:t>20</w:t>
        </w:r>
        <w:r>
          <w:rPr>
            <w:noProof/>
            <w:webHidden/>
          </w:rPr>
          <w:fldChar w:fldCharType="end"/>
        </w:r>
      </w:hyperlink>
    </w:p>
    <w:p w14:paraId="07035BDB" w14:textId="3D5F63BA"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2" w:history="1">
        <w:r w:rsidRPr="00FF728B">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_Toc195005002 \h </w:instrText>
        </w:r>
        <w:r>
          <w:rPr>
            <w:noProof/>
            <w:webHidden/>
          </w:rPr>
        </w:r>
        <w:r>
          <w:rPr>
            <w:noProof/>
            <w:webHidden/>
          </w:rPr>
          <w:fldChar w:fldCharType="separate"/>
        </w:r>
        <w:r w:rsidR="00DA0251">
          <w:rPr>
            <w:noProof/>
            <w:webHidden/>
          </w:rPr>
          <w:t>21</w:t>
        </w:r>
        <w:r>
          <w:rPr>
            <w:noProof/>
            <w:webHidden/>
          </w:rPr>
          <w:fldChar w:fldCharType="end"/>
        </w:r>
      </w:hyperlink>
    </w:p>
    <w:p w14:paraId="26E79430" w14:textId="7EA6EED0"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3" w:history="1">
        <w:r w:rsidRPr="00FF728B">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_Toc195005003 \h </w:instrText>
        </w:r>
        <w:r>
          <w:rPr>
            <w:noProof/>
            <w:webHidden/>
          </w:rPr>
        </w:r>
        <w:r>
          <w:rPr>
            <w:noProof/>
            <w:webHidden/>
          </w:rPr>
          <w:fldChar w:fldCharType="separate"/>
        </w:r>
        <w:r w:rsidR="00DA0251">
          <w:rPr>
            <w:noProof/>
            <w:webHidden/>
          </w:rPr>
          <w:t>22</w:t>
        </w:r>
        <w:r>
          <w:rPr>
            <w:noProof/>
            <w:webHidden/>
          </w:rPr>
          <w:fldChar w:fldCharType="end"/>
        </w:r>
      </w:hyperlink>
    </w:p>
    <w:p w14:paraId="1D2CAEAF" w14:textId="46A70D3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4" w:history="1">
        <w:r w:rsidRPr="00FF728B">
          <w:rPr>
            <w:rStyle w:val="Hyperlink"/>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_Toc195005004 \h </w:instrText>
        </w:r>
        <w:r>
          <w:rPr>
            <w:noProof/>
            <w:webHidden/>
          </w:rPr>
        </w:r>
        <w:r>
          <w:rPr>
            <w:noProof/>
            <w:webHidden/>
          </w:rPr>
          <w:fldChar w:fldCharType="separate"/>
        </w:r>
        <w:r w:rsidR="00DA0251">
          <w:rPr>
            <w:noProof/>
            <w:webHidden/>
          </w:rPr>
          <w:t>23</w:t>
        </w:r>
        <w:r>
          <w:rPr>
            <w:noProof/>
            <w:webHidden/>
          </w:rPr>
          <w:fldChar w:fldCharType="end"/>
        </w:r>
      </w:hyperlink>
    </w:p>
    <w:p w14:paraId="563640B8" w14:textId="42F41D40"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5" w:history="1">
        <w:r w:rsidRPr="00FF728B">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_Toc195005005 \h </w:instrText>
        </w:r>
        <w:r>
          <w:rPr>
            <w:noProof/>
            <w:webHidden/>
          </w:rPr>
        </w:r>
        <w:r>
          <w:rPr>
            <w:noProof/>
            <w:webHidden/>
          </w:rPr>
          <w:fldChar w:fldCharType="separate"/>
        </w:r>
        <w:r w:rsidR="00DA0251">
          <w:rPr>
            <w:noProof/>
            <w:webHidden/>
          </w:rPr>
          <w:t>23</w:t>
        </w:r>
        <w:r>
          <w:rPr>
            <w:noProof/>
            <w:webHidden/>
          </w:rPr>
          <w:fldChar w:fldCharType="end"/>
        </w:r>
      </w:hyperlink>
    </w:p>
    <w:p w14:paraId="7A5DC82E" w14:textId="343F3F78"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6" w:history="1">
        <w:r w:rsidRPr="00FF728B">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_Toc195005006 \h </w:instrText>
        </w:r>
        <w:r>
          <w:rPr>
            <w:noProof/>
            <w:webHidden/>
          </w:rPr>
        </w:r>
        <w:r>
          <w:rPr>
            <w:noProof/>
            <w:webHidden/>
          </w:rPr>
          <w:fldChar w:fldCharType="separate"/>
        </w:r>
        <w:r w:rsidR="00DA0251">
          <w:rPr>
            <w:noProof/>
            <w:webHidden/>
          </w:rPr>
          <w:t>23</w:t>
        </w:r>
        <w:r>
          <w:rPr>
            <w:noProof/>
            <w:webHidden/>
          </w:rPr>
          <w:fldChar w:fldCharType="end"/>
        </w:r>
      </w:hyperlink>
    </w:p>
    <w:p w14:paraId="7AD577C8" w14:textId="4020373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7" w:history="1">
        <w:r w:rsidRPr="00FF728B">
          <w:rPr>
            <w:rStyle w:val="Hyperlink"/>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_Toc195005007 \h </w:instrText>
        </w:r>
        <w:r>
          <w:rPr>
            <w:noProof/>
            <w:webHidden/>
          </w:rPr>
        </w:r>
        <w:r>
          <w:rPr>
            <w:noProof/>
            <w:webHidden/>
          </w:rPr>
          <w:fldChar w:fldCharType="separate"/>
        </w:r>
        <w:r w:rsidR="00DA0251">
          <w:rPr>
            <w:noProof/>
            <w:webHidden/>
          </w:rPr>
          <w:t>23</w:t>
        </w:r>
        <w:r>
          <w:rPr>
            <w:noProof/>
            <w:webHidden/>
          </w:rPr>
          <w:fldChar w:fldCharType="end"/>
        </w:r>
      </w:hyperlink>
    </w:p>
    <w:p w14:paraId="6A612339" w14:textId="6E122BF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8" w:history="1">
        <w:r w:rsidRPr="00FF728B">
          <w:rPr>
            <w:rStyle w:val="Hyperlink"/>
            <w:rFonts w:ascii="Arial" w:hAnsi="Arial" w:cs="Arial"/>
            <w:noProof/>
          </w:rPr>
          <w:t>Собствени акции</w:t>
        </w:r>
        <w:r>
          <w:rPr>
            <w:noProof/>
            <w:webHidden/>
          </w:rPr>
          <w:tab/>
        </w:r>
        <w:r>
          <w:rPr>
            <w:noProof/>
            <w:webHidden/>
          </w:rPr>
          <w:fldChar w:fldCharType="begin"/>
        </w:r>
        <w:r>
          <w:rPr>
            <w:noProof/>
            <w:webHidden/>
          </w:rPr>
          <w:instrText xml:space="preserve"> PAGEREF _Toc195005008 \h </w:instrText>
        </w:r>
        <w:r>
          <w:rPr>
            <w:noProof/>
            <w:webHidden/>
          </w:rPr>
        </w:r>
        <w:r>
          <w:rPr>
            <w:noProof/>
            <w:webHidden/>
          </w:rPr>
          <w:fldChar w:fldCharType="separate"/>
        </w:r>
        <w:r w:rsidR="00DA0251">
          <w:rPr>
            <w:noProof/>
            <w:webHidden/>
          </w:rPr>
          <w:t>23</w:t>
        </w:r>
        <w:r>
          <w:rPr>
            <w:noProof/>
            <w:webHidden/>
          </w:rPr>
          <w:fldChar w:fldCharType="end"/>
        </w:r>
      </w:hyperlink>
    </w:p>
    <w:p w14:paraId="2B912D61" w14:textId="7EFFCB2E"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9" w:history="1">
        <w:r w:rsidRPr="00FF728B">
          <w:rPr>
            <w:rStyle w:val="Hyperlink"/>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_Toc195005009 \h </w:instrText>
        </w:r>
        <w:r>
          <w:rPr>
            <w:noProof/>
            <w:webHidden/>
          </w:rPr>
        </w:r>
        <w:r>
          <w:rPr>
            <w:noProof/>
            <w:webHidden/>
          </w:rPr>
          <w:fldChar w:fldCharType="separate"/>
        </w:r>
        <w:r w:rsidR="00DA0251">
          <w:rPr>
            <w:noProof/>
            <w:webHidden/>
          </w:rPr>
          <w:t>23</w:t>
        </w:r>
        <w:r>
          <w:rPr>
            <w:noProof/>
            <w:webHidden/>
          </w:rPr>
          <w:fldChar w:fldCharType="end"/>
        </w:r>
      </w:hyperlink>
    </w:p>
    <w:p w14:paraId="7B86BCC0" w14:textId="6A1C77FF"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0" w:history="1">
        <w:r w:rsidRPr="00FF728B">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_Toc195005010 \h </w:instrText>
        </w:r>
        <w:r>
          <w:rPr>
            <w:noProof/>
            <w:webHidden/>
          </w:rPr>
        </w:r>
        <w:r>
          <w:rPr>
            <w:noProof/>
            <w:webHidden/>
          </w:rPr>
          <w:fldChar w:fldCharType="separate"/>
        </w:r>
        <w:r w:rsidR="00DA0251">
          <w:rPr>
            <w:noProof/>
            <w:webHidden/>
          </w:rPr>
          <w:t>25</w:t>
        </w:r>
        <w:r>
          <w:rPr>
            <w:noProof/>
            <w:webHidden/>
          </w:rPr>
          <w:fldChar w:fldCharType="end"/>
        </w:r>
      </w:hyperlink>
    </w:p>
    <w:p w14:paraId="7B03FBC5" w14:textId="31A751C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1" w:history="1">
        <w:r w:rsidRPr="00FF728B">
          <w:rPr>
            <w:rStyle w:val="Hyperlink"/>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_Toc195005011 \h </w:instrText>
        </w:r>
        <w:r>
          <w:rPr>
            <w:noProof/>
            <w:webHidden/>
          </w:rPr>
        </w:r>
        <w:r>
          <w:rPr>
            <w:noProof/>
            <w:webHidden/>
          </w:rPr>
          <w:fldChar w:fldCharType="separate"/>
        </w:r>
        <w:r w:rsidR="00DA0251">
          <w:rPr>
            <w:noProof/>
            <w:webHidden/>
          </w:rPr>
          <w:t>25</w:t>
        </w:r>
        <w:r>
          <w:rPr>
            <w:noProof/>
            <w:webHidden/>
          </w:rPr>
          <w:fldChar w:fldCharType="end"/>
        </w:r>
      </w:hyperlink>
    </w:p>
    <w:p w14:paraId="62DEB5AB" w14:textId="6C0AF26B"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2" w:history="1">
        <w:r w:rsidRPr="00FF728B">
          <w:rPr>
            <w:rStyle w:val="Hyperlink"/>
            <w:rFonts w:ascii="Arial" w:hAnsi="Arial" w:cs="Arial"/>
            <w:noProof/>
          </w:rPr>
          <w:t>Справедливата стойност на некотирани инвестиции</w:t>
        </w:r>
        <w:r>
          <w:rPr>
            <w:noProof/>
            <w:webHidden/>
          </w:rPr>
          <w:tab/>
        </w:r>
        <w:r>
          <w:rPr>
            <w:noProof/>
            <w:webHidden/>
          </w:rPr>
          <w:fldChar w:fldCharType="begin"/>
        </w:r>
        <w:r>
          <w:rPr>
            <w:noProof/>
            <w:webHidden/>
          </w:rPr>
          <w:instrText xml:space="preserve"> PAGEREF _Toc195005012 \h </w:instrText>
        </w:r>
        <w:r>
          <w:rPr>
            <w:noProof/>
            <w:webHidden/>
          </w:rPr>
        </w:r>
        <w:r>
          <w:rPr>
            <w:noProof/>
            <w:webHidden/>
          </w:rPr>
          <w:fldChar w:fldCharType="separate"/>
        </w:r>
        <w:r w:rsidR="00DA0251">
          <w:rPr>
            <w:noProof/>
            <w:webHidden/>
          </w:rPr>
          <w:t>26</w:t>
        </w:r>
        <w:r>
          <w:rPr>
            <w:noProof/>
            <w:webHidden/>
          </w:rPr>
          <w:fldChar w:fldCharType="end"/>
        </w:r>
      </w:hyperlink>
    </w:p>
    <w:p w14:paraId="14EC39C4" w14:textId="3A2B7D8C"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3" w:history="1">
        <w:r w:rsidRPr="00FF728B">
          <w:rPr>
            <w:rStyle w:val="Hyperlink"/>
            <w:rFonts w:ascii="Arial" w:hAnsi="Arial" w:cs="Arial"/>
            <w:noProof/>
          </w:rPr>
          <w:t>Приблизителна оценка на отсрочените данъци</w:t>
        </w:r>
        <w:r>
          <w:rPr>
            <w:noProof/>
            <w:webHidden/>
          </w:rPr>
          <w:tab/>
        </w:r>
        <w:r>
          <w:rPr>
            <w:noProof/>
            <w:webHidden/>
          </w:rPr>
          <w:fldChar w:fldCharType="begin"/>
        </w:r>
        <w:r>
          <w:rPr>
            <w:noProof/>
            <w:webHidden/>
          </w:rPr>
          <w:instrText xml:space="preserve"> PAGEREF _Toc195005013 \h </w:instrText>
        </w:r>
        <w:r>
          <w:rPr>
            <w:noProof/>
            <w:webHidden/>
          </w:rPr>
        </w:r>
        <w:r>
          <w:rPr>
            <w:noProof/>
            <w:webHidden/>
          </w:rPr>
          <w:fldChar w:fldCharType="separate"/>
        </w:r>
        <w:r w:rsidR="00DA0251">
          <w:rPr>
            <w:noProof/>
            <w:webHidden/>
          </w:rPr>
          <w:t>26</w:t>
        </w:r>
        <w:r>
          <w:rPr>
            <w:noProof/>
            <w:webHidden/>
          </w:rPr>
          <w:fldChar w:fldCharType="end"/>
        </w:r>
      </w:hyperlink>
    </w:p>
    <w:p w14:paraId="4570C31C" w14:textId="06A84A15"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4" w:history="1">
        <w:r w:rsidRPr="00FF728B">
          <w:rPr>
            <w:rStyle w:val="Hyperlink"/>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_Toc195005014 \h </w:instrText>
        </w:r>
        <w:r>
          <w:rPr>
            <w:noProof/>
            <w:webHidden/>
          </w:rPr>
        </w:r>
        <w:r>
          <w:rPr>
            <w:noProof/>
            <w:webHidden/>
          </w:rPr>
          <w:fldChar w:fldCharType="separate"/>
        </w:r>
        <w:r w:rsidR="00DA0251">
          <w:rPr>
            <w:noProof/>
            <w:webHidden/>
          </w:rPr>
          <w:t>26</w:t>
        </w:r>
        <w:r>
          <w:rPr>
            <w:noProof/>
            <w:webHidden/>
          </w:rPr>
          <w:fldChar w:fldCharType="end"/>
        </w:r>
      </w:hyperlink>
    </w:p>
    <w:p w14:paraId="11F9D7C6" w14:textId="78B00DC5"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5" w:history="1">
        <w:r w:rsidRPr="00FF728B">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_Toc195005015 \h </w:instrText>
        </w:r>
        <w:r>
          <w:rPr>
            <w:noProof/>
            <w:webHidden/>
          </w:rPr>
        </w:r>
        <w:r>
          <w:rPr>
            <w:noProof/>
            <w:webHidden/>
          </w:rPr>
          <w:fldChar w:fldCharType="separate"/>
        </w:r>
        <w:r w:rsidR="00DA0251">
          <w:rPr>
            <w:noProof/>
            <w:webHidden/>
          </w:rPr>
          <w:t>26</w:t>
        </w:r>
        <w:r>
          <w:rPr>
            <w:noProof/>
            <w:webHidden/>
          </w:rPr>
          <w:fldChar w:fldCharType="end"/>
        </w:r>
      </w:hyperlink>
    </w:p>
    <w:p w14:paraId="38D78F29" w14:textId="3889E4B7"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5016" w:history="1">
        <w:r w:rsidRPr="00FF728B">
          <w:rPr>
            <w:rStyle w:val="Hyperlink"/>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_Toc195005016 \h </w:instrText>
        </w:r>
        <w:r>
          <w:rPr>
            <w:webHidden/>
          </w:rPr>
        </w:r>
        <w:r>
          <w:rPr>
            <w:webHidden/>
          </w:rPr>
          <w:fldChar w:fldCharType="separate"/>
        </w:r>
        <w:r w:rsidR="00DA0251">
          <w:rPr>
            <w:webHidden/>
          </w:rPr>
          <w:t>26</w:t>
        </w:r>
        <w:r>
          <w:rPr>
            <w:webHidden/>
          </w:rPr>
          <w:fldChar w:fldCharType="end"/>
        </w:r>
      </w:hyperlink>
    </w:p>
    <w:p w14:paraId="409BF5A1" w14:textId="3F0480FD"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7" w:history="1">
        <w:r w:rsidRPr="00FF728B">
          <w:rPr>
            <w:rStyle w:val="Hyperlink"/>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_Toc195005017 \h </w:instrText>
        </w:r>
        <w:r>
          <w:rPr>
            <w:noProof/>
            <w:webHidden/>
          </w:rPr>
        </w:r>
        <w:r>
          <w:rPr>
            <w:noProof/>
            <w:webHidden/>
          </w:rPr>
          <w:fldChar w:fldCharType="separate"/>
        </w:r>
        <w:r w:rsidR="00DA0251">
          <w:rPr>
            <w:noProof/>
            <w:webHidden/>
          </w:rPr>
          <w:t>26</w:t>
        </w:r>
        <w:r>
          <w:rPr>
            <w:noProof/>
            <w:webHidden/>
          </w:rPr>
          <w:fldChar w:fldCharType="end"/>
        </w:r>
      </w:hyperlink>
    </w:p>
    <w:p w14:paraId="3A2B043F" w14:textId="53C88095" w:rsidR="0062161C" w:rsidRDefault="0062161C">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8" w:history="1">
        <w:r w:rsidRPr="00FF728B">
          <w:rPr>
            <w:rStyle w:val="Hyperlink"/>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FF728B">
          <w:rPr>
            <w:rStyle w:val="Hyperlink"/>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_Toc195005018 \h </w:instrText>
        </w:r>
        <w:r>
          <w:rPr>
            <w:noProof/>
            <w:webHidden/>
          </w:rPr>
        </w:r>
        <w:r>
          <w:rPr>
            <w:noProof/>
            <w:webHidden/>
          </w:rPr>
          <w:fldChar w:fldCharType="separate"/>
        </w:r>
        <w:r w:rsidR="00DA0251">
          <w:rPr>
            <w:noProof/>
            <w:webHidden/>
          </w:rPr>
          <w:t>26</w:t>
        </w:r>
        <w:r>
          <w:rPr>
            <w:noProof/>
            <w:webHidden/>
          </w:rPr>
          <w:fldChar w:fldCharType="end"/>
        </w:r>
      </w:hyperlink>
    </w:p>
    <w:p w14:paraId="1F4EA7CD" w14:textId="016B140D" w:rsidR="0062161C" w:rsidRDefault="0062161C">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9" w:history="1">
        <w:r w:rsidRPr="00FF728B">
          <w:rPr>
            <w:rStyle w:val="Hyperlink"/>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FF728B">
          <w:rPr>
            <w:rStyle w:val="Hyperlink"/>
            <w:rFonts w:ascii="Arial" w:hAnsi="Arial" w:cs="Arial"/>
            <w:noProof/>
          </w:rPr>
          <w:t>Разходи за персонала</w:t>
        </w:r>
        <w:r>
          <w:rPr>
            <w:noProof/>
            <w:webHidden/>
          </w:rPr>
          <w:tab/>
        </w:r>
        <w:r>
          <w:rPr>
            <w:noProof/>
            <w:webHidden/>
          </w:rPr>
          <w:fldChar w:fldCharType="begin"/>
        </w:r>
        <w:r>
          <w:rPr>
            <w:noProof/>
            <w:webHidden/>
          </w:rPr>
          <w:instrText xml:space="preserve"> PAGEREF _Toc195005019 \h </w:instrText>
        </w:r>
        <w:r>
          <w:rPr>
            <w:noProof/>
            <w:webHidden/>
          </w:rPr>
        </w:r>
        <w:r>
          <w:rPr>
            <w:noProof/>
            <w:webHidden/>
          </w:rPr>
          <w:fldChar w:fldCharType="separate"/>
        </w:r>
        <w:r w:rsidR="00DA0251">
          <w:rPr>
            <w:noProof/>
            <w:webHidden/>
          </w:rPr>
          <w:t>27</w:t>
        </w:r>
        <w:r>
          <w:rPr>
            <w:noProof/>
            <w:webHidden/>
          </w:rPr>
          <w:fldChar w:fldCharType="end"/>
        </w:r>
      </w:hyperlink>
    </w:p>
    <w:p w14:paraId="27881ED1" w14:textId="31CAA4BF" w:rsidR="0062161C" w:rsidRDefault="0062161C">
      <w:pPr>
        <w:pStyle w:val="TOC4"/>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20" w:history="1">
        <w:r w:rsidRPr="00FF728B">
          <w:rPr>
            <w:rStyle w:val="Hyperlink"/>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FF728B">
          <w:rPr>
            <w:rStyle w:val="Hyperlink"/>
            <w:rFonts w:ascii="Arial" w:hAnsi="Arial" w:cs="Arial"/>
            <w:noProof/>
          </w:rPr>
          <w:t>Други разходи</w:t>
        </w:r>
        <w:r>
          <w:rPr>
            <w:noProof/>
            <w:webHidden/>
          </w:rPr>
          <w:tab/>
        </w:r>
        <w:r>
          <w:rPr>
            <w:noProof/>
            <w:webHidden/>
          </w:rPr>
          <w:fldChar w:fldCharType="begin"/>
        </w:r>
        <w:r>
          <w:rPr>
            <w:noProof/>
            <w:webHidden/>
          </w:rPr>
          <w:instrText xml:space="preserve"> PAGEREF _Toc195005020 \h </w:instrText>
        </w:r>
        <w:r>
          <w:rPr>
            <w:noProof/>
            <w:webHidden/>
          </w:rPr>
        </w:r>
        <w:r>
          <w:rPr>
            <w:noProof/>
            <w:webHidden/>
          </w:rPr>
          <w:fldChar w:fldCharType="separate"/>
        </w:r>
        <w:r w:rsidR="00DA0251">
          <w:rPr>
            <w:noProof/>
            <w:webHidden/>
          </w:rPr>
          <w:t>27</w:t>
        </w:r>
        <w:r>
          <w:rPr>
            <w:noProof/>
            <w:webHidden/>
          </w:rPr>
          <w:fldChar w:fldCharType="end"/>
        </w:r>
      </w:hyperlink>
    </w:p>
    <w:p w14:paraId="2C130C5F" w14:textId="2E9D5112" w:rsidR="0062161C" w:rsidRDefault="0062161C">
      <w:pPr>
        <w:pStyle w:val="TOC3"/>
        <w:tabs>
          <w:tab w:val="left" w:pos="1100"/>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1" w:history="1">
        <w:r w:rsidRPr="00FF728B">
          <w:rPr>
            <w:rStyle w:val="Hyperlink"/>
            <w:rFonts w:ascii="Arial" w:hAnsi="Arial" w:cs="Arial"/>
            <w:noProof/>
          </w:rPr>
          <w:t>1.4.</w:t>
        </w:r>
        <w:r>
          <w:rPr>
            <w:rFonts w:asciiTheme="minorHAnsi" w:eastAsiaTheme="minorEastAsia" w:hAnsiTheme="minorHAnsi" w:cstheme="minorBidi"/>
            <w:noProof/>
            <w:kern w:val="2"/>
            <w:sz w:val="24"/>
            <w:szCs w:val="24"/>
            <w:lang w:eastAsia="bg-BG"/>
            <w14:ligatures w14:val="standardContextual"/>
          </w:rPr>
          <w:tab/>
        </w:r>
        <w:r w:rsidRPr="00FF728B">
          <w:rPr>
            <w:rStyle w:val="Hyperlink"/>
            <w:rFonts w:ascii="Arial" w:hAnsi="Arial" w:cs="Arial"/>
            <w:noProof/>
          </w:rPr>
          <w:t>Финансови приходи и финансови разходи</w:t>
        </w:r>
        <w:r>
          <w:rPr>
            <w:noProof/>
            <w:webHidden/>
          </w:rPr>
          <w:tab/>
        </w:r>
        <w:r>
          <w:rPr>
            <w:noProof/>
            <w:webHidden/>
          </w:rPr>
          <w:fldChar w:fldCharType="begin"/>
        </w:r>
        <w:r>
          <w:rPr>
            <w:noProof/>
            <w:webHidden/>
          </w:rPr>
          <w:instrText xml:space="preserve"> PAGEREF _Toc195005021 \h </w:instrText>
        </w:r>
        <w:r>
          <w:rPr>
            <w:noProof/>
            <w:webHidden/>
          </w:rPr>
        </w:r>
        <w:r>
          <w:rPr>
            <w:noProof/>
            <w:webHidden/>
          </w:rPr>
          <w:fldChar w:fldCharType="separate"/>
        </w:r>
        <w:r w:rsidR="00DA0251">
          <w:rPr>
            <w:noProof/>
            <w:webHidden/>
          </w:rPr>
          <w:t>27</w:t>
        </w:r>
        <w:r>
          <w:rPr>
            <w:noProof/>
            <w:webHidden/>
          </w:rPr>
          <w:fldChar w:fldCharType="end"/>
        </w:r>
      </w:hyperlink>
    </w:p>
    <w:p w14:paraId="71CE672F" w14:textId="6BFA6E7C"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2" w:history="1">
        <w:r w:rsidRPr="00FF728B">
          <w:rPr>
            <w:rStyle w:val="Hyperlink"/>
            <w:rFonts w:ascii="Arial" w:hAnsi="Arial" w:cs="Arial"/>
            <w:noProof/>
          </w:rPr>
          <w:t>1.6. Нетна загуба на акция</w:t>
        </w:r>
        <w:r>
          <w:rPr>
            <w:noProof/>
            <w:webHidden/>
          </w:rPr>
          <w:tab/>
        </w:r>
        <w:r>
          <w:rPr>
            <w:noProof/>
            <w:webHidden/>
          </w:rPr>
          <w:fldChar w:fldCharType="begin"/>
        </w:r>
        <w:r>
          <w:rPr>
            <w:noProof/>
            <w:webHidden/>
          </w:rPr>
          <w:instrText xml:space="preserve"> PAGEREF _Toc195005022 \h </w:instrText>
        </w:r>
        <w:r>
          <w:rPr>
            <w:noProof/>
            <w:webHidden/>
          </w:rPr>
        </w:r>
        <w:r>
          <w:rPr>
            <w:noProof/>
            <w:webHidden/>
          </w:rPr>
          <w:fldChar w:fldCharType="separate"/>
        </w:r>
        <w:r w:rsidR="00DA0251">
          <w:rPr>
            <w:noProof/>
            <w:webHidden/>
          </w:rPr>
          <w:t>28</w:t>
        </w:r>
        <w:r>
          <w:rPr>
            <w:noProof/>
            <w:webHidden/>
          </w:rPr>
          <w:fldChar w:fldCharType="end"/>
        </w:r>
      </w:hyperlink>
    </w:p>
    <w:p w14:paraId="16596BA4" w14:textId="616754B9"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3" w:history="1">
        <w:r w:rsidRPr="00FF728B">
          <w:rPr>
            <w:rStyle w:val="Hyperlink"/>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_Toc195005023 \h </w:instrText>
        </w:r>
        <w:r>
          <w:rPr>
            <w:noProof/>
            <w:webHidden/>
          </w:rPr>
        </w:r>
        <w:r>
          <w:rPr>
            <w:noProof/>
            <w:webHidden/>
          </w:rPr>
          <w:fldChar w:fldCharType="separate"/>
        </w:r>
        <w:r w:rsidR="00DA0251">
          <w:rPr>
            <w:noProof/>
            <w:webHidden/>
          </w:rPr>
          <w:t>28</w:t>
        </w:r>
        <w:r>
          <w:rPr>
            <w:noProof/>
            <w:webHidden/>
          </w:rPr>
          <w:fldChar w:fldCharType="end"/>
        </w:r>
      </w:hyperlink>
    </w:p>
    <w:p w14:paraId="7F8325E7" w14:textId="7157FB3D"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4" w:history="1">
        <w:r w:rsidRPr="00FF728B">
          <w:rPr>
            <w:rStyle w:val="Hyperlink"/>
            <w:rFonts w:ascii="Arial" w:hAnsi="Arial" w:cs="Arial"/>
            <w:noProof/>
          </w:rPr>
          <w:t>Нетекущи активи</w:t>
        </w:r>
        <w:r>
          <w:rPr>
            <w:noProof/>
            <w:webHidden/>
          </w:rPr>
          <w:tab/>
        </w:r>
        <w:r>
          <w:rPr>
            <w:noProof/>
            <w:webHidden/>
          </w:rPr>
          <w:fldChar w:fldCharType="begin"/>
        </w:r>
        <w:r>
          <w:rPr>
            <w:noProof/>
            <w:webHidden/>
          </w:rPr>
          <w:instrText xml:space="preserve"> PAGEREF _Toc195005024 \h </w:instrText>
        </w:r>
        <w:r>
          <w:rPr>
            <w:noProof/>
            <w:webHidden/>
          </w:rPr>
        </w:r>
        <w:r>
          <w:rPr>
            <w:noProof/>
            <w:webHidden/>
          </w:rPr>
          <w:fldChar w:fldCharType="separate"/>
        </w:r>
        <w:r w:rsidR="00DA0251">
          <w:rPr>
            <w:noProof/>
            <w:webHidden/>
          </w:rPr>
          <w:t>28</w:t>
        </w:r>
        <w:r>
          <w:rPr>
            <w:noProof/>
            <w:webHidden/>
          </w:rPr>
          <w:fldChar w:fldCharType="end"/>
        </w:r>
      </w:hyperlink>
    </w:p>
    <w:p w14:paraId="6551F904" w14:textId="701248DC"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25" w:history="1">
        <w:r w:rsidRPr="00FF728B">
          <w:rPr>
            <w:rStyle w:val="Hyperlink"/>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_Toc195005025 \h </w:instrText>
        </w:r>
        <w:r>
          <w:rPr>
            <w:noProof/>
            <w:webHidden/>
          </w:rPr>
        </w:r>
        <w:r>
          <w:rPr>
            <w:noProof/>
            <w:webHidden/>
          </w:rPr>
          <w:fldChar w:fldCharType="separate"/>
        </w:r>
        <w:r w:rsidR="00DA0251">
          <w:rPr>
            <w:noProof/>
            <w:webHidden/>
          </w:rPr>
          <w:t>28</w:t>
        </w:r>
        <w:r>
          <w:rPr>
            <w:noProof/>
            <w:webHidden/>
          </w:rPr>
          <w:fldChar w:fldCharType="end"/>
        </w:r>
      </w:hyperlink>
    </w:p>
    <w:p w14:paraId="14CAF016" w14:textId="033C9B9F"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26" w:history="1">
        <w:r w:rsidRPr="00FF728B">
          <w:rPr>
            <w:rStyle w:val="Hyperlink"/>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_Toc195005026 \h </w:instrText>
        </w:r>
        <w:r>
          <w:rPr>
            <w:noProof/>
            <w:webHidden/>
          </w:rPr>
        </w:r>
        <w:r>
          <w:rPr>
            <w:noProof/>
            <w:webHidden/>
          </w:rPr>
          <w:fldChar w:fldCharType="separate"/>
        </w:r>
        <w:r w:rsidR="00DA0251">
          <w:rPr>
            <w:noProof/>
            <w:webHidden/>
          </w:rPr>
          <w:t>28</w:t>
        </w:r>
        <w:r>
          <w:rPr>
            <w:noProof/>
            <w:webHidden/>
          </w:rPr>
          <w:fldChar w:fldCharType="end"/>
        </w:r>
      </w:hyperlink>
    </w:p>
    <w:p w14:paraId="48694978" w14:textId="4F10EEDD"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7" w:history="1">
        <w:r w:rsidRPr="00FF728B">
          <w:rPr>
            <w:rStyle w:val="Hyperlink"/>
            <w:rFonts w:ascii="Arial" w:hAnsi="Arial" w:cs="Arial"/>
            <w:noProof/>
          </w:rPr>
          <w:t>Текущи активи</w:t>
        </w:r>
        <w:r>
          <w:rPr>
            <w:noProof/>
            <w:webHidden/>
          </w:rPr>
          <w:tab/>
        </w:r>
        <w:r>
          <w:rPr>
            <w:noProof/>
            <w:webHidden/>
          </w:rPr>
          <w:fldChar w:fldCharType="begin"/>
        </w:r>
        <w:r>
          <w:rPr>
            <w:noProof/>
            <w:webHidden/>
          </w:rPr>
          <w:instrText xml:space="preserve"> PAGEREF _Toc195005027 \h </w:instrText>
        </w:r>
        <w:r>
          <w:rPr>
            <w:noProof/>
            <w:webHidden/>
          </w:rPr>
        </w:r>
        <w:r>
          <w:rPr>
            <w:noProof/>
            <w:webHidden/>
          </w:rPr>
          <w:fldChar w:fldCharType="separate"/>
        </w:r>
        <w:r w:rsidR="00DA0251">
          <w:rPr>
            <w:noProof/>
            <w:webHidden/>
          </w:rPr>
          <w:t>29</w:t>
        </w:r>
        <w:r>
          <w:rPr>
            <w:noProof/>
            <w:webHidden/>
          </w:rPr>
          <w:fldChar w:fldCharType="end"/>
        </w:r>
      </w:hyperlink>
    </w:p>
    <w:p w14:paraId="0A345365" w14:textId="73CF10B5"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28" w:history="1">
        <w:r w:rsidRPr="00FF728B">
          <w:rPr>
            <w:rStyle w:val="Hyperlink"/>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_Toc195005028 \h </w:instrText>
        </w:r>
        <w:r>
          <w:rPr>
            <w:noProof/>
            <w:webHidden/>
          </w:rPr>
        </w:r>
        <w:r>
          <w:rPr>
            <w:noProof/>
            <w:webHidden/>
          </w:rPr>
          <w:fldChar w:fldCharType="separate"/>
        </w:r>
        <w:r w:rsidR="00DA0251">
          <w:rPr>
            <w:noProof/>
            <w:webHidden/>
          </w:rPr>
          <w:t>29</w:t>
        </w:r>
        <w:r>
          <w:rPr>
            <w:noProof/>
            <w:webHidden/>
          </w:rPr>
          <w:fldChar w:fldCharType="end"/>
        </w:r>
      </w:hyperlink>
    </w:p>
    <w:p w14:paraId="146FF228" w14:textId="28D6A65B"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29" w:history="1">
        <w:r w:rsidRPr="00FF728B">
          <w:rPr>
            <w:rStyle w:val="Hyperlink"/>
            <w:rFonts w:ascii="Arial" w:hAnsi="Arial" w:cs="Arial"/>
            <w:noProof/>
          </w:rPr>
          <w:t>2.4 Парични средства</w:t>
        </w:r>
        <w:r>
          <w:rPr>
            <w:noProof/>
            <w:webHidden/>
          </w:rPr>
          <w:tab/>
        </w:r>
        <w:r>
          <w:rPr>
            <w:noProof/>
            <w:webHidden/>
          </w:rPr>
          <w:fldChar w:fldCharType="begin"/>
        </w:r>
        <w:r>
          <w:rPr>
            <w:noProof/>
            <w:webHidden/>
          </w:rPr>
          <w:instrText xml:space="preserve"> PAGEREF _Toc195005029 \h </w:instrText>
        </w:r>
        <w:r>
          <w:rPr>
            <w:noProof/>
            <w:webHidden/>
          </w:rPr>
        </w:r>
        <w:r>
          <w:rPr>
            <w:noProof/>
            <w:webHidden/>
          </w:rPr>
          <w:fldChar w:fldCharType="separate"/>
        </w:r>
        <w:r w:rsidR="00DA0251">
          <w:rPr>
            <w:noProof/>
            <w:webHidden/>
          </w:rPr>
          <w:t>30</w:t>
        </w:r>
        <w:r>
          <w:rPr>
            <w:noProof/>
            <w:webHidden/>
          </w:rPr>
          <w:fldChar w:fldCharType="end"/>
        </w:r>
      </w:hyperlink>
    </w:p>
    <w:p w14:paraId="25A99F4E" w14:textId="452D0CA6"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30" w:history="1">
        <w:r w:rsidRPr="00FF728B">
          <w:rPr>
            <w:rStyle w:val="Hyperlink"/>
            <w:rFonts w:ascii="Arial" w:hAnsi="Arial" w:cs="Arial"/>
            <w:noProof/>
          </w:rPr>
          <w:t>2.5. Собствен капитал</w:t>
        </w:r>
        <w:r>
          <w:rPr>
            <w:noProof/>
            <w:webHidden/>
          </w:rPr>
          <w:tab/>
        </w:r>
        <w:r>
          <w:rPr>
            <w:noProof/>
            <w:webHidden/>
          </w:rPr>
          <w:fldChar w:fldCharType="begin"/>
        </w:r>
        <w:r>
          <w:rPr>
            <w:noProof/>
            <w:webHidden/>
          </w:rPr>
          <w:instrText xml:space="preserve"> PAGEREF _Toc195005030 \h </w:instrText>
        </w:r>
        <w:r>
          <w:rPr>
            <w:noProof/>
            <w:webHidden/>
          </w:rPr>
        </w:r>
        <w:r>
          <w:rPr>
            <w:noProof/>
            <w:webHidden/>
          </w:rPr>
          <w:fldChar w:fldCharType="separate"/>
        </w:r>
        <w:r w:rsidR="00DA0251">
          <w:rPr>
            <w:noProof/>
            <w:webHidden/>
          </w:rPr>
          <w:t>30</w:t>
        </w:r>
        <w:r>
          <w:rPr>
            <w:noProof/>
            <w:webHidden/>
          </w:rPr>
          <w:fldChar w:fldCharType="end"/>
        </w:r>
      </w:hyperlink>
    </w:p>
    <w:p w14:paraId="775144B4" w14:textId="18976FDD"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31" w:history="1">
        <w:r w:rsidRPr="00FF728B">
          <w:rPr>
            <w:rStyle w:val="Hyperlink"/>
            <w:rFonts w:ascii="Arial" w:hAnsi="Arial" w:cs="Arial"/>
            <w:noProof/>
          </w:rPr>
          <w:t>2.5.2.Премии от емисии</w:t>
        </w:r>
        <w:r>
          <w:rPr>
            <w:noProof/>
            <w:webHidden/>
          </w:rPr>
          <w:tab/>
        </w:r>
        <w:r>
          <w:rPr>
            <w:noProof/>
            <w:webHidden/>
          </w:rPr>
          <w:fldChar w:fldCharType="begin"/>
        </w:r>
        <w:r>
          <w:rPr>
            <w:noProof/>
            <w:webHidden/>
          </w:rPr>
          <w:instrText xml:space="preserve"> PAGEREF _Toc195005031 \h </w:instrText>
        </w:r>
        <w:r>
          <w:rPr>
            <w:noProof/>
            <w:webHidden/>
          </w:rPr>
        </w:r>
        <w:r>
          <w:rPr>
            <w:noProof/>
            <w:webHidden/>
          </w:rPr>
          <w:fldChar w:fldCharType="separate"/>
        </w:r>
        <w:r w:rsidR="00DA0251">
          <w:rPr>
            <w:noProof/>
            <w:webHidden/>
          </w:rPr>
          <w:t>30</w:t>
        </w:r>
        <w:r>
          <w:rPr>
            <w:noProof/>
            <w:webHidden/>
          </w:rPr>
          <w:fldChar w:fldCharType="end"/>
        </w:r>
      </w:hyperlink>
    </w:p>
    <w:p w14:paraId="5322A0A3" w14:textId="3862B3D6"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33" w:history="1">
        <w:r w:rsidRPr="00FF728B">
          <w:rPr>
            <w:rStyle w:val="Hyperlink"/>
            <w:rFonts w:ascii="Arial" w:hAnsi="Arial" w:cs="Arial"/>
            <w:noProof/>
          </w:rPr>
          <w:t>2.5.3. Финансов резултат</w:t>
        </w:r>
        <w:r>
          <w:rPr>
            <w:noProof/>
            <w:webHidden/>
          </w:rPr>
          <w:tab/>
        </w:r>
        <w:r>
          <w:rPr>
            <w:noProof/>
            <w:webHidden/>
          </w:rPr>
          <w:fldChar w:fldCharType="begin"/>
        </w:r>
        <w:r>
          <w:rPr>
            <w:noProof/>
            <w:webHidden/>
          </w:rPr>
          <w:instrText xml:space="preserve"> PAGEREF _Toc195005033 \h </w:instrText>
        </w:r>
        <w:r>
          <w:rPr>
            <w:noProof/>
            <w:webHidden/>
          </w:rPr>
        </w:r>
        <w:r>
          <w:rPr>
            <w:noProof/>
            <w:webHidden/>
          </w:rPr>
          <w:fldChar w:fldCharType="separate"/>
        </w:r>
        <w:r w:rsidR="00DA0251">
          <w:rPr>
            <w:noProof/>
            <w:webHidden/>
          </w:rPr>
          <w:t>30</w:t>
        </w:r>
        <w:r>
          <w:rPr>
            <w:noProof/>
            <w:webHidden/>
          </w:rPr>
          <w:fldChar w:fldCharType="end"/>
        </w:r>
      </w:hyperlink>
    </w:p>
    <w:p w14:paraId="72795E6F" w14:textId="5355AE52"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34" w:history="1">
        <w:r w:rsidRPr="00FF728B">
          <w:rPr>
            <w:rStyle w:val="Hyperlink"/>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_Toc195005034 \h </w:instrText>
        </w:r>
        <w:r>
          <w:rPr>
            <w:noProof/>
            <w:webHidden/>
          </w:rPr>
        </w:r>
        <w:r>
          <w:rPr>
            <w:noProof/>
            <w:webHidden/>
          </w:rPr>
          <w:fldChar w:fldCharType="separate"/>
        </w:r>
        <w:r w:rsidR="00DA0251">
          <w:rPr>
            <w:noProof/>
            <w:webHidden/>
          </w:rPr>
          <w:t>31</w:t>
        </w:r>
        <w:r>
          <w:rPr>
            <w:noProof/>
            <w:webHidden/>
          </w:rPr>
          <w:fldChar w:fldCharType="end"/>
        </w:r>
      </w:hyperlink>
    </w:p>
    <w:p w14:paraId="3528C4A2" w14:textId="322870A9" w:rsidR="0062161C" w:rsidRDefault="0062161C">
      <w:pPr>
        <w:pStyle w:val="TOC4"/>
        <w:tabs>
          <w:tab w:val="right" w:leader="dot" w:pos="9457"/>
        </w:tabs>
        <w:rPr>
          <w:rFonts w:asciiTheme="minorHAnsi" w:eastAsiaTheme="minorEastAsia" w:hAnsiTheme="minorHAnsi" w:cstheme="minorBidi"/>
          <w:noProof/>
          <w:kern w:val="2"/>
          <w:sz w:val="24"/>
          <w:szCs w:val="24"/>
          <w14:ligatures w14:val="standardContextual"/>
        </w:rPr>
      </w:pPr>
      <w:hyperlink w:anchor="_Toc195005035" w:history="1">
        <w:r w:rsidRPr="00FF728B">
          <w:rPr>
            <w:rStyle w:val="Hyperlink"/>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_Toc195005035 \h </w:instrText>
        </w:r>
        <w:r>
          <w:rPr>
            <w:noProof/>
            <w:webHidden/>
          </w:rPr>
        </w:r>
        <w:r>
          <w:rPr>
            <w:noProof/>
            <w:webHidden/>
          </w:rPr>
          <w:fldChar w:fldCharType="separate"/>
        </w:r>
        <w:r w:rsidR="00DA0251">
          <w:rPr>
            <w:noProof/>
            <w:webHidden/>
          </w:rPr>
          <w:t>31</w:t>
        </w:r>
        <w:r>
          <w:rPr>
            <w:noProof/>
            <w:webHidden/>
          </w:rPr>
          <w:fldChar w:fldCharType="end"/>
        </w:r>
      </w:hyperlink>
    </w:p>
    <w:p w14:paraId="780C3B83" w14:textId="6B074706"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5036" w:history="1">
        <w:r w:rsidRPr="00FF728B">
          <w:rPr>
            <w:rStyle w:val="Hyperlink"/>
            <w:rFonts w:ascii="Arial" w:hAnsi="Arial" w:cs="Arial"/>
          </w:rPr>
          <w:t>IV. ДРУГИ ОПОВЕСТЯВАНИЯ</w:t>
        </w:r>
        <w:r>
          <w:rPr>
            <w:webHidden/>
          </w:rPr>
          <w:tab/>
        </w:r>
        <w:r>
          <w:rPr>
            <w:webHidden/>
          </w:rPr>
          <w:fldChar w:fldCharType="begin"/>
        </w:r>
        <w:r>
          <w:rPr>
            <w:webHidden/>
          </w:rPr>
          <w:instrText xml:space="preserve"> PAGEREF _Toc195005036 \h </w:instrText>
        </w:r>
        <w:r>
          <w:rPr>
            <w:webHidden/>
          </w:rPr>
        </w:r>
        <w:r>
          <w:rPr>
            <w:webHidden/>
          </w:rPr>
          <w:fldChar w:fldCharType="separate"/>
        </w:r>
        <w:r w:rsidR="00DA0251">
          <w:rPr>
            <w:webHidden/>
          </w:rPr>
          <w:t>32</w:t>
        </w:r>
        <w:r>
          <w:rPr>
            <w:webHidden/>
          </w:rPr>
          <w:fldChar w:fldCharType="end"/>
        </w:r>
      </w:hyperlink>
    </w:p>
    <w:p w14:paraId="0854076E" w14:textId="5E79A4D9"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7" w:history="1">
        <w:r w:rsidRPr="00FF728B">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_Toc195005037 \h </w:instrText>
        </w:r>
        <w:r>
          <w:rPr>
            <w:noProof/>
            <w:webHidden/>
          </w:rPr>
        </w:r>
        <w:r>
          <w:rPr>
            <w:noProof/>
            <w:webHidden/>
          </w:rPr>
          <w:fldChar w:fldCharType="separate"/>
        </w:r>
        <w:r w:rsidR="00DA0251">
          <w:rPr>
            <w:noProof/>
            <w:webHidden/>
          </w:rPr>
          <w:t>32</w:t>
        </w:r>
        <w:r>
          <w:rPr>
            <w:noProof/>
            <w:webHidden/>
          </w:rPr>
          <w:fldChar w:fldCharType="end"/>
        </w:r>
      </w:hyperlink>
    </w:p>
    <w:p w14:paraId="1AADBDBC" w14:textId="131F2920"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8" w:history="1">
        <w:r w:rsidRPr="00FF728B">
          <w:rPr>
            <w:rStyle w:val="Hyperlink"/>
            <w:rFonts w:ascii="Arial" w:hAnsi="Arial" w:cs="Arial"/>
            <w:noProof/>
          </w:rPr>
          <w:t>За периода към 3</w:t>
        </w:r>
        <w:r w:rsidR="00995204">
          <w:rPr>
            <w:rStyle w:val="Hyperlink"/>
            <w:rFonts w:ascii="Arial" w:hAnsi="Arial" w:cs="Arial"/>
            <w:noProof/>
          </w:rPr>
          <w:t>0</w:t>
        </w:r>
        <w:r w:rsidRPr="00FF728B">
          <w:rPr>
            <w:rStyle w:val="Hyperlink"/>
            <w:rFonts w:ascii="Arial" w:hAnsi="Arial" w:cs="Arial"/>
            <w:noProof/>
          </w:rPr>
          <w:t>.0</w:t>
        </w:r>
        <w:r w:rsidR="00995204">
          <w:rPr>
            <w:rStyle w:val="Hyperlink"/>
            <w:rFonts w:ascii="Arial" w:hAnsi="Arial" w:cs="Arial"/>
            <w:noProof/>
          </w:rPr>
          <w:t>6</w:t>
        </w:r>
        <w:r w:rsidRPr="00FF728B">
          <w:rPr>
            <w:rStyle w:val="Hyperlink"/>
            <w:rFonts w:ascii="Arial" w:hAnsi="Arial" w:cs="Arial"/>
            <w:noProof/>
          </w:rPr>
          <w:t>.2025 г, дружеството не е начислявало доходи на ключов ръководен персонал.</w:t>
        </w:r>
        <w:r>
          <w:rPr>
            <w:noProof/>
            <w:webHidden/>
          </w:rPr>
          <w:tab/>
        </w:r>
        <w:r>
          <w:rPr>
            <w:noProof/>
            <w:webHidden/>
          </w:rPr>
          <w:fldChar w:fldCharType="begin"/>
        </w:r>
        <w:r>
          <w:rPr>
            <w:noProof/>
            <w:webHidden/>
          </w:rPr>
          <w:instrText xml:space="preserve"> PAGEREF _Toc195005038 \h </w:instrText>
        </w:r>
        <w:r>
          <w:rPr>
            <w:noProof/>
            <w:webHidden/>
          </w:rPr>
        </w:r>
        <w:r>
          <w:rPr>
            <w:noProof/>
            <w:webHidden/>
          </w:rPr>
          <w:fldChar w:fldCharType="separate"/>
        </w:r>
        <w:r w:rsidR="00DA0251">
          <w:rPr>
            <w:noProof/>
            <w:webHidden/>
          </w:rPr>
          <w:t>34</w:t>
        </w:r>
        <w:r>
          <w:rPr>
            <w:noProof/>
            <w:webHidden/>
          </w:rPr>
          <w:fldChar w:fldCharType="end"/>
        </w:r>
      </w:hyperlink>
    </w:p>
    <w:p w14:paraId="1654A6AC" w14:textId="288E6240"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9" w:history="1">
        <w:r w:rsidRPr="00FF728B">
          <w:rPr>
            <w:rStyle w:val="Hyperlink"/>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_Toc195005039 \h </w:instrText>
        </w:r>
        <w:r>
          <w:rPr>
            <w:noProof/>
            <w:webHidden/>
          </w:rPr>
        </w:r>
        <w:r>
          <w:rPr>
            <w:noProof/>
            <w:webHidden/>
          </w:rPr>
          <w:fldChar w:fldCharType="separate"/>
        </w:r>
        <w:r w:rsidR="00DA0251">
          <w:rPr>
            <w:noProof/>
            <w:webHidden/>
          </w:rPr>
          <w:t>34</w:t>
        </w:r>
        <w:r>
          <w:rPr>
            <w:noProof/>
            <w:webHidden/>
          </w:rPr>
          <w:fldChar w:fldCharType="end"/>
        </w:r>
      </w:hyperlink>
    </w:p>
    <w:p w14:paraId="488AD200" w14:textId="5B61802E"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0" w:history="1">
        <w:r w:rsidRPr="00FF728B">
          <w:rPr>
            <w:rStyle w:val="Hyperlink"/>
            <w:rFonts w:ascii="Arial" w:hAnsi="Arial" w:cs="Arial"/>
            <w:i/>
            <w:iCs/>
            <w:noProof/>
          </w:rPr>
          <w:t>Оценка</w:t>
        </w:r>
        <w:r>
          <w:rPr>
            <w:noProof/>
            <w:webHidden/>
          </w:rPr>
          <w:tab/>
        </w:r>
        <w:r>
          <w:rPr>
            <w:noProof/>
            <w:webHidden/>
          </w:rPr>
          <w:fldChar w:fldCharType="begin"/>
        </w:r>
        <w:r>
          <w:rPr>
            <w:noProof/>
            <w:webHidden/>
          </w:rPr>
          <w:instrText xml:space="preserve"> PAGEREF _Toc195005040 \h </w:instrText>
        </w:r>
        <w:r>
          <w:rPr>
            <w:noProof/>
            <w:webHidden/>
          </w:rPr>
        </w:r>
        <w:r>
          <w:rPr>
            <w:noProof/>
            <w:webHidden/>
          </w:rPr>
          <w:fldChar w:fldCharType="separate"/>
        </w:r>
        <w:r w:rsidR="00DA0251">
          <w:rPr>
            <w:noProof/>
            <w:webHidden/>
          </w:rPr>
          <w:t>35</w:t>
        </w:r>
        <w:r>
          <w:rPr>
            <w:noProof/>
            <w:webHidden/>
          </w:rPr>
          <w:fldChar w:fldCharType="end"/>
        </w:r>
      </w:hyperlink>
    </w:p>
    <w:p w14:paraId="10A728B6" w14:textId="1E274F83"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1" w:history="1">
        <w:r w:rsidRPr="00FF728B">
          <w:rPr>
            <w:rStyle w:val="Hyperlink"/>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_Toc195005041 \h </w:instrText>
        </w:r>
        <w:r>
          <w:rPr>
            <w:noProof/>
            <w:webHidden/>
          </w:rPr>
        </w:r>
        <w:r>
          <w:rPr>
            <w:noProof/>
            <w:webHidden/>
          </w:rPr>
          <w:fldChar w:fldCharType="separate"/>
        </w:r>
        <w:r w:rsidR="00DA0251">
          <w:rPr>
            <w:noProof/>
            <w:webHidden/>
          </w:rPr>
          <w:t>36</w:t>
        </w:r>
        <w:r>
          <w:rPr>
            <w:noProof/>
            <w:webHidden/>
          </w:rPr>
          <w:fldChar w:fldCharType="end"/>
        </w:r>
      </w:hyperlink>
    </w:p>
    <w:p w14:paraId="77D1985E" w14:textId="6922DD3D"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2" w:history="1">
        <w:r w:rsidRPr="00FF728B">
          <w:rPr>
            <w:rStyle w:val="Hyperlink"/>
            <w:rFonts w:ascii="Arial" w:hAnsi="Arial" w:cs="Arial"/>
            <w:noProof/>
          </w:rPr>
          <w:t>Кредитен  риск</w:t>
        </w:r>
        <w:r>
          <w:rPr>
            <w:noProof/>
            <w:webHidden/>
          </w:rPr>
          <w:tab/>
        </w:r>
        <w:r>
          <w:rPr>
            <w:noProof/>
            <w:webHidden/>
          </w:rPr>
          <w:fldChar w:fldCharType="begin"/>
        </w:r>
        <w:r>
          <w:rPr>
            <w:noProof/>
            <w:webHidden/>
          </w:rPr>
          <w:instrText xml:space="preserve"> PAGEREF _Toc195005042 \h </w:instrText>
        </w:r>
        <w:r>
          <w:rPr>
            <w:noProof/>
            <w:webHidden/>
          </w:rPr>
        </w:r>
        <w:r>
          <w:rPr>
            <w:noProof/>
            <w:webHidden/>
          </w:rPr>
          <w:fldChar w:fldCharType="separate"/>
        </w:r>
        <w:r w:rsidR="00DA0251">
          <w:rPr>
            <w:noProof/>
            <w:webHidden/>
          </w:rPr>
          <w:t>36</w:t>
        </w:r>
        <w:r>
          <w:rPr>
            <w:noProof/>
            <w:webHidden/>
          </w:rPr>
          <w:fldChar w:fldCharType="end"/>
        </w:r>
      </w:hyperlink>
    </w:p>
    <w:p w14:paraId="3ECF4E93" w14:textId="63C20B99"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3" w:history="1">
        <w:r w:rsidRPr="00FF728B">
          <w:rPr>
            <w:rStyle w:val="Hyperlink"/>
            <w:rFonts w:ascii="Arial" w:hAnsi="Arial" w:cs="Arial"/>
            <w:noProof/>
          </w:rPr>
          <w:t>Ликвиден риск</w:t>
        </w:r>
        <w:r>
          <w:rPr>
            <w:noProof/>
            <w:webHidden/>
          </w:rPr>
          <w:tab/>
        </w:r>
        <w:r>
          <w:rPr>
            <w:noProof/>
            <w:webHidden/>
          </w:rPr>
          <w:fldChar w:fldCharType="begin"/>
        </w:r>
        <w:r>
          <w:rPr>
            <w:noProof/>
            <w:webHidden/>
          </w:rPr>
          <w:instrText xml:space="preserve"> PAGEREF _Toc195005043 \h </w:instrText>
        </w:r>
        <w:r>
          <w:rPr>
            <w:noProof/>
            <w:webHidden/>
          </w:rPr>
        </w:r>
        <w:r>
          <w:rPr>
            <w:noProof/>
            <w:webHidden/>
          </w:rPr>
          <w:fldChar w:fldCharType="separate"/>
        </w:r>
        <w:r w:rsidR="00DA0251">
          <w:rPr>
            <w:noProof/>
            <w:webHidden/>
          </w:rPr>
          <w:t>36</w:t>
        </w:r>
        <w:r>
          <w:rPr>
            <w:noProof/>
            <w:webHidden/>
          </w:rPr>
          <w:fldChar w:fldCharType="end"/>
        </w:r>
      </w:hyperlink>
    </w:p>
    <w:p w14:paraId="32064421" w14:textId="15CBB91C"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4" w:history="1">
        <w:r w:rsidRPr="00FF728B">
          <w:rPr>
            <w:rStyle w:val="Hyperlink"/>
            <w:rFonts w:ascii="Arial" w:hAnsi="Arial" w:cs="Arial"/>
            <w:noProof/>
          </w:rPr>
          <w:t>Лихвен риск</w:t>
        </w:r>
        <w:r>
          <w:rPr>
            <w:noProof/>
            <w:webHidden/>
          </w:rPr>
          <w:tab/>
        </w:r>
        <w:r>
          <w:rPr>
            <w:noProof/>
            <w:webHidden/>
          </w:rPr>
          <w:fldChar w:fldCharType="begin"/>
        </w:r>
        <w:r>
          <w:rPr>
            <w:noProof/>
            <w:webHidden/>
          </w:rPr>
          <w:instrText xml:space="preserve"> PAGEREF _Toc195005044 \h </w:instrText>
        </w:r>
        <w:r>
          <w:rPr>
            <w:noProof/>
            <w:webHidden/>
          </w:rPr>
        </w:r>
        <w:r>
          <w:rPr>
            <w:noProof/>
            <w:webHidden/>
          </w:rPr>
          <w:fldChar w:fldCharType="separate"/>
        </w:r>
        <w:r w:rsidR="00DA0251">
          <w:rPr>
            <w:noProof/>
            <w:webHidden/>
          </w:rPr>
          <w:t>37</w:t>
        </w:r>
        <w:r>
          <w:rPr>
            <w:noProof/>
            <w:webHidden/>
          </w:rPr>
          <w:fldChar w:fldCharType="end"/>
        </w:r>
      </w:hyperlink>
    </w:p>
    <w:p w14:paraId="357080F4" w14:textId="7F8AD00F"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5" w:history="1">
        <w:r w:rsidRPr="00FF728B">
          <w:rPr>
            <w:rStyle w:val="Hyperlink"/>
            <w:rFonts w:ascii="Arial" w:hAnsi="Arial" w:cs="Arial"/>
            <w:noProof/>
          </w:rPr>
          <w:t>Валутен риск</w:t>
        </w:r>
        <w:r>
          <w:rPr>
            <w:noProof/>
            <w:webHidden/>
          </w:rPr>
          <w:tab/>
        </w:r>
        <w:r>
          <w:rPr>
            <w:noProof/>
            <w:webHidden/>
          </w:rPr>
          <w:fldChar w:fldCharType="begin"/>
        </w:r>
        <w:r>
          <w:rPr>
            <w:noProof/>
            <w:webHidden/>
          </w:rPr>
          <w:instrText xml:space="preserve"> PAGEREF _Toc195005045 \h </w:instrText>
        </w:r>
        <w:r>
          <w:rPr>
            <w:noProof/>
            <w:webHidden/>
          </w:rPr>
        </w:r>
        <w:r>
          <w:rPr>
            <w:noProof/>
            <w:webHidden/>
          </w:rPr>
          <w:fldChar w:fldCharType="separate"/>
        </w:r>
        <w:r w:rsidR="00DA0251">
          <w:rPr>
            <w:noProof/>
            <w:webHidden/>
          </w:rPr>
          <w:t>37</w:t>
        </w:r>
        <w:r>
          <w:rPr>
            <w:noProof/>
            <w:webHidden/>
          </w:rPr>
          <w:fldChar w:fldCharType="end"/>
        </w:r>
      </w:hyperlink>
    </w:p>
    <w:p w14:paraId="380FD7C0" w14:textId="7F66B024"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6" w:history="1">
        <w:r w:rsidRPr="00FF728B">
          <w:rPr>
            <w:rStyle w:val="Hyperlink"/>
            <w:rFonts w:ascii="Arial" w:hAnsi="Arial" w:cs="Arial"/>
            <w:noProof/>
          </w:rPr>
          <w:t>Пазарен риск</w:t>
        </w:r>
        <w:r>
          <w:rPr>
            <w:noProof/>
            <w:webHidden/>
          </w:rPr>
          <w:tab/>
        </w:r>
        <w:r>
          <w:rPr>
            <w:noProof/>
            <w:webHidden/>
          </w:rPr>
          <w:fldChar w:fldCharType="begin"/>
        </w:r>
        <w:r>
          <w:rPr>
            <w:noProof/>
            <w:webHidden/>
          </w:rPr>
          <w:instrText xml:space="preserve"> PAGEREF _Toc195005046 \h </w:instrText>
        </w:r>
        <w:r>
          <w:rPr>
            <w:noProof/>
            <w:webHidden/>
          </w:rPr>
        </w:r>
        <w:r>
          <w:rPr>
            <w:noProof/>
            <w:webHidden/>
          </w:rPr>
          <w:fldChar w:fldCharType="separate"/>
        </w:r>
        <w:r w:rsidR="00DA0251">
          <w:rPr>
            <w:noProof/>
            <w:webHidden/>
          </w:rPr>
          <w:t>37</w:t>
        </w:r>
        <w:r>
          <w:rPr>
            <w:noProof/>
            <w:webHidden/>
          </w:rPr>
          <w:fldChar w:fldCharType="end"/>
        </w:r>
      </w:hyperlink>
    </w:p>
    <w:p w14:paraId="52D4A2B0" w14:textId="517A3251" w:rsidR="0062161C" w:rsidRDefault="0062161C">
      <w:pPr>
        <w:pStyle w:val="TOC3"/>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7" w:history="1">
        <w:r w:rsidRPr="00FF728B">
          <w:rPr>
            <w:rStyle w:val="Hyperlink"/>
            <w:rFonts w:ascii="Arial" w:hAnsi="Arial" w:cs="Arial"/>
            <w:noProof/>
          </w:rPr>
          <w:t>Климатични рискове</w:t>
        </w:r>
        <w:r>
          <w:rPr>
            <w:noProof/>
            <w:webHidden/>
          </w:rPr>
          <w:tab/>
        </w:r>
        <w:r>
          <w:rPr>
            <w:noProof/>
            <w:webHidden/>
          </w:rPr>
          <w:fldChar w:fldCharType="begin"/>
        </w:r>
        <w:r>
          <w:rPr>
            <w:noProof/>
            <w:webHidden/>
          </w:rPr>
          <w:instrText xml:space="preserve"> PAGEREF _Toc195005047 \h </w:instrText>
        </w:r>
        <w:r>
          <w:rPr>
            <w:noProof/>
            <w:webHidden/>
          </w:rPr>
        </w:r>
        <w:r>
          <w:rPr>
            <w:noProof/>
            <w:webHidden/>
          </w:rPr>
          <w:fldChar w:fldCharType="separate"/>
        </w:r>
        <w:r w:rsidR="00DA0251">
          <w:rPr>
            <w:noProof/>
            <w:webHidden/>
          </w:rPr>
          <w:t>37</w:t>
        </w:r>
        <w:r>
          <w:rPr>
            <w:noProof/>
            <w:webHidden/>
          </w:rPr>
          <w:fldChar w:fldCharType="end"/>
        </w:r>
      </w:hyperlink>
    </w:p>
    <w:p w14:paraId="42720DC8" w14:textId="27044855"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8" w:history="1">
        <w:r w:rsidRPr="00FF728B">
          <w:rPr>
            <w:rStyle w:val="Hyperlink"/>
            <w:rFonts w:ascii="Arial" w:hAnsi="Arial" w:cs="Arial"/>
            <w:noProof/>
          </w:rPr>
          <w:t>3</w:t>
        </w:r>
        <w:r w:rsidRPr="00FF728B">
          <w:rPr>
            <w:rStyle w:val="Hyperlink"/>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_Toc195005048 \h </w:instrText>
        </w:r>
        <w:r>
          <w:rPr>
            <w:noProof/>
            <w:webHidden/>
          </w:rPr>
        </w:r>
        <w:r>
          <w:rPr>
            <w:noProof/>
            <w:webHidden/>
          </w:rPr>
          <w:fldChar w:fldCharType="separate"/>
        </w:r>
        <w:r w:rsidR="00DA0251">
          <w:rPr>
            <w:noProof/>
            <w:webHidden/>
          </w:rPr>
          <w:t>38</w:t>
        </w:r>
        <w:r>
          <w:rPr>
            <w:noProof/>
            <w:webHidden/>
          </w:rPr>
          <w:fldChar w:fldCharType="end"/>
        </w:r>
      </w:hyperlink>
    </w:p>
    <w:p w14:paraId="2C879550" w14:textId="421457D6"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9" w:history="1">
        <w:r w:rsidRPr="00FF728B">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_Toc195005049 \h </w:instrText>
        </w:r>
        <w:r>
          <w:rPr>
            <w:noProof/>
            <w:webHidden/>
          </w:rPr>
        </w:r>
        <w:r>
          <w:rPr>
            <w:noProof/>
            <w:webHidden/>
          </w:rPr>
          <w:fldChar w:fldCharType="separate"/>
        </w:r>
        <w:r w:rsidR="00DA0251">
          <w:rPr>
            <w:noProof/>
            <w:webHidden/>
          </w:rPr>
          <w:t>38</w:t>
        </w:r>
        <w:r>
          <w:rPr>
            <w:noProof/>
            <w:webHidden/>
          </w:rPr>
          <w:fldChar w:fldCharType="end"/>
        </w:r>
      </w:hyperlink>
    </w:p>
    <w:p w14:paraId="6877E7DD" w14:textId="74D7704E"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0" w:history="1">
        <w:r w:rsidRPr="00FF728B">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_Toc195005050 \h </w:instrText>
        </w:r>
        <w:r>
          <w:rPr>
            <w:noProof/>
            <w:webHidden/>
          </w:rPr>
        </w:r>
        <w:r>
          <w:rPr>
            <w:noProof/>
            <w:webHidden/>
          </w:rPr>
          <w:fldChar w:fldCharType="separate"/>
        </w:r>
        <w:r w:rsidR="00DA0251">
          <w:rPr>
            <w:noProof/>
            <w:webHidden/>
          </w:rPr>
          <w:t>38</w:t>
        </w:r>
        <w:r>
          <w:rPr>
            <w:noProof/>
            <w:webHidden/>
          </w:rPr>
          <w:fldChar w:fldCharType="end"/>
        </w:r>
      </w:hyperlink>
    </w:p>
    <w:p w14:paraId="5B070644" w14:textId="7891B9FB"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1" w:history="1">
        <w:r w:rsidRPr="00FF728B">
          <w:rPr>
            <w:rStyle w:val="Hyperlink"/>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_Toc195005051 \h </w:instrText>
        </w:r>
        <w:r>
          <w:rPr>
            <w:noProof/>
            <w:webHidden/>
          </w:rPr>
        </w:r>
        <w:r>
          <w:rPr>
            <w:noProof/>
            <w:webHidden/>
          </w:rPr>
          <w:fldChar w:fldCharType="separate"/>
        </w:r>
        <w:r w:rsidR="00DA0251">
          <w:rPr>
            <w:noProof/>
            <w:webHidden/>
          </w:rPr>
          <w:t>39</w:t>
        </w:r>
        <w:r>
          <w:rPr>
            <w:noProof/>
            <w:webHidden/>
          </w:rPr>
          <w:fldChar w:fldCharType="end"/>
        </w:r>
      </w:hyperlink>
    </w:p>
    <w:p w14:paraId="378837A5" w14:textId="47AF0792" w:rsidR="0062161C" w:rsidRDefault="0062161C">
      <w:pPr>
        <w:pStyle w:val="TOC2"/>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2" w:history="1">
        <w:r w:rsidRPr="00FF728B">
          <w:rPr>
            <w:rStyle w:val="Hyperlink"/>
            <w:rFonts w:ascii="Arial" w:hAnsi="Arial" w:cs="Arial"/>
            <w:i/>
            <w:noProof/>
          </w:rPr>
          <w:t xml:space="preserve">8. Значими събития през </w:t>
        </w:r>
        <w:r w:rsidR="00995204">
          <w:rPr>
            <w:rStyle w:val="Hyperlink"/>
            <w:rFonts w:ascii="Arial" w:hAnsi="Arial" w:cs="Arial"/>
            <w:i/>
            <w:noProof/>
          </w:rPr>
          <w:t>второ</w:t>
        </w:r>
        <w:r w:rsidRPr="00FF728B">
          <w:rPr>
            <w:rStyle w:val="Hyperlink"/>
            <w:rFonts w:ascii="Arial" w:hAnsi="Arial" w:cs="Arial"/>
            <w:i/>
            <w:noProof/>
          </w:rPr>
          <w:t xml:space="preserve"> тримесечие на  2025г. и ефекти върху дружеството</w:t>
        </w:r>
        <w:r>
          <w:rPr>
            <w:noProof/>
            <w:webHidden/>
          </w:rPr>
          <w:tab/>
        </w:r>
        <w:r>
          <w:rPr>
            <w:noProof/>
            <w:webHidden/>
          </w:rPr>
          <w:fldChar w:fldCharType="begin"/>
        </w:r>
        <w:r>
          <w:rPr>
            <w:noProof/>
            <w:webHidden/>
          </w:rPr>
          <w:instrText xml:space="preserve"> PAGEREF _Toc195005052 \h </w:instrText>
        </w:r>
        <w:r>
          <w:rPr>
            <w:noProof/>
            <w:webHidden/>
          </w:rPr>
        </w:r>
        <w:r>
          <w:rPr>
            <w:noProof/>
            <w:webHidden/>
          </w:rPr>
          <w:fldChar w:fldCharType="separate"/>
        </w:r>
        <w:r w:rsidR="00DA0251">
          <w:rPr>
            <w:noProof/>
            <w:webHidden/>
          </w:rPr>
          <w:t>39</w:t>
        </w:r>
        <w:r>
          <w:rPr>
            <w:noProof/>
            <w:webHidden/>
          </w:rPr>
          <w:fldChar w:fldCharType="end"/>
        </w:r>
      </w:hyperlink>
    </w:p>
    <w:p w14:paraId="7FCB7FB7" w14:textId="57394355" w:rsidR="0062161C" w:rsidRDefault="0062161C">
      <w:pPr>
        <w:pStyle w:val="TOC1"/>
        <w:rPr>
          <w:rFonts w:asciiTheme="minorHAnsi" w:eastAsiaTheme="minorEastAsia" w:hAnsiTheme="minorHAnsi" w:cstheme="minorBidi"/>
          <w:bCs w:val="0"/>
          <w:snapToGrid/>
          <w:kern w:val="2"/>
          <w:sz w:val="24"/>
          <w:szCs w:val="24"/>
          <w:lang w:eastAsia="bg-BG"/>
          <w14:ligatures w14:val="standardContextual"/>
        </w:rPr>
      </w:pPr>
      <w:hyperlink w:anchor="_Toc195005053" w:history="1">
        <w:r w:rsidRPr="00FF728B">
          <w:rPr>
            <w:rStyle w:val="Hyperlink"/>
            <w:rFonts w:ascii="Arial" w:hAnsi="Arial" w:cs="Arial"/>
          </w:rPr>
          <w:t>V. ФИНАНСОВИ ПОКАЗАТЕЛИ</w:t>
        </w:r>
        <w:r>
          <w:rPr>
            <w:webHidden/>
          </w:rPr>
          <w:tab/>
        </w:r>
        <w:r>
          <w:rPr>
            <w:webHidden/>
          </w:rPr>
          <w:fldChar w:fldCharType="begin"/>
        </w:r>
        <w:r>
          <w:rPr>
            <w:webHidden/>
          </w:rPr>
          <w:instrText xml:space="preserve"> PAGEREF _Toc195005053 \h </w:instrText>
        </w:r>
        <w:r>
          <w:rPr>
            <w:webHidden/>
          </w:rPr>
        </w:r>
        <w:r>
          <w:rPr>
            <w:webHidden/>
          </w:rPr>
          <w:fldChar w:fldCharType="separate"/>
        </w:r>
        <w:r w:rsidR="00DA0251">
          <w:rPr>
            <w:webHidden/>
          </w:rPr>
          <w:t>40</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724A69B2" w14:textId="77777777" w:rsidR="0025784E" w:rsidRDefault="0025784E" w:rsidP="006F02F3">
      <w:pPr>
        <w:spacing w:line="320" w:lineRule="atLeast"/>
        <w:ind w:left="360"/>
        <w:jc w:val="center"/>
        <w:rPr>
          <w:rFonts w:ascii="Arial" w:hAnsi="Arial" w:cs="Arial"/>
          <w:sz w:val="72"/>
          <w:szCs w:val="72"/>
          <w:u w:val="single"/>
          <w:lang w:eastAsia="zh-CN"/>
        </w:rPr>
      </w:pPr>
    </w:p>
    <w:p w14:paraId="5BC6C95C" w14:textId="77777777" w:rsidR="0025784E" w:rsidRDefault="0025784E" w:rsidP="006F02F3">
      <w:pPr>
        <w:spacing w:line="320" w:lineRule="atLeast"/>
        <w:ind w:left="360"/>
        <w:jc w:val="center"/>
        <w:rPr>
          <w:rFonts w:ascii="Arial" w:hAnsi="Arial" w:cs="Arial"/>
          <w:sz w:val="72"/>
          <w:szCs w:val="72"/>
          <w:u w:val="single"/>
          <w:lang w:eastAsia="zh-CN"/>
        </w:rPr>
      </w:pPr>
    </w:p>
    <w:p w14:paraId="352ECD4F" w14:textId="77777777" w:rsidR="0025784E" w:rsidRDefault="0025784E" w:rsidP="006F02F3">
      <w:pPr>
        <w:spacing w:line="320" w:lineRule="atLeast"/>
        <w:ind w:left="360"/>
        <w:jc w:val="center"/>
        <w:rPr>
          <w:rFonts w:ascii="Arial" w:hAnsi="Arial" w:cs="Arial"/>
          <w:sz w:val="72"/>
          <w:szCs w:val="72"/>
          <w:u w:val="single"/>
          <w:lang w:eastAsia="zh-CN"/>
        </w:rPr>
      </w:pPr>
    </w:p>
    <w:p w14:paraId="5CBC428C" w14:textId="77777777" w:rsidR="0025784E" w:rsidRDefault="0025784E" w:rsidP="006F02F3">
      <w:pPr>
        <w:spacing w:line="320" w:lineRule="atLeast"/>
        <w:ind w:left="360"/>
        <w:jc w:val="center"/>
        <w:rPr>
          <w:rFonts w:ascii="Arial" w:hAnsi="Arial" w:cs="Arial"/>
          <w:sz w:val="72"/>
          <w:szCs w:val="72"/>
          <w:u w:val="single"/>
          <w:lang w:eastAsia="zh-CN"/>
        </w:rPr>
      </w:pPr>
    </w:p>
    <w:p w14:paraId="0A72CCAA" w14:textId="77777777" w:rsidR="0025784E" w:rsidRDefault="0025784E" w:rsidP="006F02F3">
      <w:pPr>
        <w:spacing w:line="320" w:lineRule="atLeast"/>
        <w:ind w:left="360"/>
        <w:jc w:val="center"/>
        <w:rPr>
          <w:rFonts w:ascii="Arial" w:hAnsi="Arial" w:cs="Arial"/>
          <w:sz w:val="72"/>
          <w:szCs w:val="72"/>
          <w:u w:val="single"/>
          <w:lang w:eastAsia="zh-CN"/>
        </w:rPr>
      </w:pPr>
    </w:p>
    <w:p w14:paraId="49EAA548" w14:textId="77777777" w:rsidR="0025784E" w:rsidRDefault="0025784E" w:rsidP="006F02F3">
      <w:pPr>
        <w:spacing w:line="320" w:lineRule="atLeast"/>
        <w:ind w:left="360"/>
        <w:jc w:val="center"/>
        <w:rPr>
          <w:rFonts w:ascii="Arial" w:hAnsi="Arial" w:cs="Arial"/>
          <w:sz w:val="72"/>
          <w:szCs w:val="72"/>
          <w:u w:val="single"/>
          <w:lang w:eastAsia="zh-CN"/>
        </w:rPr>
      </w:pPr>
    </w:p>
    <w:p w14:paraId="54C2CF69" w14:textId="77777777" w:rsidR="0025784E" w:rsidRDefault="0025784E" w:rsidP="006F02F3">
      <w:pPr>
        <w:spacing w:line="320" w:lineRule="atLeast"/>
        <w:ind w:left="360"/>
        <w:jc w:val="center"/>
        <w:rPr>
          <w:rFonts w:ascii="Arial" w:hAnsi="Arial" w:cs="Arial"/>
          <w:sz w:val="72"/>
          <w:szCs w:val="72"/>
          <w:u w:val="single"/>
          <w:lang w:eastAsia="zh-CN"/>
        </w:rPr>
      </w:pPr>
    </w:p>
    <w:p w14:paraId="64DB8B80" w14:textId="77777777" w:rsidR="0062161C" w:rsidRDefault="0062161C" w:rsidP="006F02F3">
      <w:pPr>
        <w:spacing w:line="320" w:lineRule="atLeast"/>
        <w:ind w:left="360"/>
        <w:jc w:val="center"/>
        <w:rPr>
          <w:rFonts w:ascii="Arial" w:hAnsi="Arial" w:cs="Arial"/>
          <w:sz w:val="72"/>
          <w:szCs w:val="72"/>
          <w:u w:val="single"/>
          <w:lang w:eastAsia="zh-CN"/>
        </w:rPr>
      </w:pPr>
    </w:p>
    <w:p w14:paraId="35D15967" w14:textId="77777777" w:rsidR="0062161C" w:rsidRDefault="0062161C" w:rsidP="006F02F3">
      <w:pPr>
        <w:spacing w:line="320" w:lineRule="atLeast"/>
        <w:ind w:left="360"/>
        <w:jc w:val="center"/>
        <w:rPr>
          <w:rFonts w:ascii="Arial" w:hAnsi="Arial" w:cs="Arial"/>
          <w:sz w:val="72"/>
          <w:szCs w:val="72"/>
          <w:u w:val="single"/>
          <w:lang w:eastAsia="zh-CN"/>
        </w:rPr>
      </w:pPr>
    </w:p>
    <w:p w14:paraId="5CA08EA8" w14:textId="77777777" w:rsidR="0062161C" w:rsidRDefault="0062161C" w:rsidP="006F02F3">
      <w:pPr>
        <w:spacing w:line="320" w:lineRule="atLeast"/>
        <w:ind w:left="360"/>
        <w:jc w:val="center"/>
        <w:rPr>
          <w:rFonts w:ascii="Arial" w:hAnsi="Arial" w:cs="Arial"/>
          <w:sz w:val="72"/>
          <w:szCs w:val="72"/>
          <w:u w:val="single"/>
          <w:lang w:eastAsia="zh-CN"/>
        </w:rPr>
      </w:pPr>
    </w:p>
    <w:p w14:paraId="4CD76320" w14:textId="3B5F933E"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lastRenderedPageBreak/>
        <w:drawing>
          <wp:anchor distT="0" distB="0" distL="114300" distR="114300" simplePos="0" relativeHeight="251657216"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Heading1"/>
        <w:spacing w:before="0"/>
        <w:ind w:right="-1370"/>
        <w:rPr>
          <w:rFonts w:ascii="Arial" w:hAnsi="Arial" w:cs="Arial"/>
          <w:snapToGrid w:val="0"/>
          <w:sz w:val="20"/>
          <w:szCs w:val="20"/>
          <w:lang w:val="bg-BG"/>
        </w:rPr>
      </w:pPr>
      <w:bookmarkStart w:id="4" w:name="_Toc195004970"/>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195004971"/>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095"/>
        <w:gridCol w:w="4372"/>
      </w:tblGrid>
      <w:tr w:rsidR="00B66DF8" w:rsidRPr="00B14C47" w14:paraId="29337BF0" w14:textId="77777777" w:rsidTr="002540C6">
        <w:tc>
          <w:tcPr>
            <w:tcW w:w="2691" w:type="pct"/>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tcPr>
          <w:p w14:paraId="37267995" w14:textId="77777777" w:rsidR="00B66DF8" w:rsidRPr="009F00E2" w:rsidRDefault="00B66DF8" w:rsidP="002540C6">
            <w:pPr>
              <w:ind w:right="-31"/>
              <w:rPr>
                <w:rFonts w:ascii="Arial" w:hAnsi="Arial" w:cs="Arial"/>
                <w:b/>
                <w:i/>
                <w:sz w:val="20"/>
              </w:rPr>
            </w:pPr>
          </w:p>
        </w:tc>
        <w:tc>
          <w:tcPr>
            <w:tcW w:w="2309" w:type="pct"/>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tcPr>
          <w:p w14:paraId="3C15424D" w14:textId="77777777" w:rsidR="00B66DF8" w:rsidRPr="009F00E2" w:rsidRDefault="00B66DF8" w:rsidP="002540C6">
            <w:pPr>
              <w:ind w:right="-31"/>
              <w:rPr>
                <w:rFonts w:ascii="Arial" w:hAnsi="Arial" w:cs="Arial"/>
                <w:b/>
                <w:i/>
                <w:sz w:val="20"/>
              </w:rPr>
            </w:pPr>
          </w:p>
        </w:tc>
        <w:tc>
          <w:tcPr>
            <w:tcW w:w="2309" w:type="pct"/>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tcPr>
          <w:p w14:paraId="1F90E79B" w14:textId="6FC93657" w:rsidR="00B66DF8" w:rsidRPr="00B14C47" w:rsidRDefault="005E0F22" w:rsidP="002540C6">
            <w:pPr>
              <w:ind w:right="-31"/>
              <w:rPr>
                <w:rFonts w:ascii="Arial" w:hAnsi="Arial" w:cs="Arial"/>
                <w:b/>
                <w:i/>
                <w:sz w:val="20"/>
              </w:rPr>
            </w:pPr>
            <w:r w:rsidRPr="00B14C47">
              <w:rPr>
                <w:rFonts w:ascii="Arial" w:hAnsi="Arial" w:cs="Arial"/>
                <w:b/>
                <w:i/>
                <w:sz w:val="20"/>
              </w:rPr>
              <w:t>3.</w:t>
            </w:r>
            <w:r w:rsidR="00554F66">
              <w:rPr>
                <w:rFonts w:ascii="Arial" w:hAnsi="Arial" w:cs="Arial"/>
                <w:b/>
                <w:i/>
                <w:sz w:val="20"/>
              </w:rPr>
              <w:t>Иво Константинов Иванчев</w:t>
            </w:r>
          </w:p>
        </w:tc>
      </w:tr>
      <w:tr w:rsidR="00B66DF8" w:rsidRPr="00B14C47" w14:paraId="7297415A" w14:textId="77777777" w:rsidTr="002540C6">
        <w:tc>
          <w:tcPr>
            <w:tcW w:w="2691" w:type="pct"/>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1127DEB8" w14:textId="77777777" w:rsidTr="002540C6">
        <w:tc>
          <w:tcPr>
            <w:tcW w:w="2691" w:type="pct"/>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tcPr>
          <w:p w14:paraId="29E677E3" w14:textId="77777777" w:rsidR="00B66DF8" w:rsidRPr="009F00E2" w:rsidRDefault="00B66DF8" w:rsidP="002540C6">
            <w:pPr>
              <w:ind w:right="-31"/>
              <w:rPr>
                <w:rFonts w:ascii="Arial" w:hAnsi="Arial" w:cs="Arial"/>
                <w:i/>
                <w:sz w:val="20"/>
              </w:rPr>
            </w:pPr>
          </w:p>
        </w:tc>
        <w:tc>
          <w:tcPr>
            <w:tcW w:w="2309" w:type="pct"/>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3108E627"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23120E" w:rsidRPr="00B14C47">
        <w:rPr>
          <w:rFonts w:ascii="Arial" w:hAnsi="Arial" w:cs="Arial"/>
          <w:i/>
          <w:sz w:val="20"/>
        </w:rPr>
        <w:t>годишен</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w:t>
      </w:r>
      <w:r w:rsidR="00D433CD">
        <w:rPr>
          <w:rFonts w:ascii="Arial" w:hAnsi="Arial" w:cs="Arial"/>
          <w:sz w:val="20"/>
        </w:rPr>
        <w:t>1</w:t>
      </w:r>
      <w:r w:rsidRPr="00B14C47">
        <w:rPr>
          <w:rFonts w:ascii="Arial" w:hAnsi="Arial" w:cs="Arial"/>
          <w:sz w:val="20"/>
        </w:rPr>
        <w:t>.</w:t>
      </w:r>
      <w:r w:rsidR="00D433CD">
        <w:rPr>
          <w:rFonts w:ascii="Arial" w:hAnsi="Arial" w:cs="Arial"/>
          <w:sz w:val="20"/>
        </w:rPr>
        <w:t>12</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16590A">
        <w:rPr>
          <w:rFonts w:ascii="Arial" w:hAnsi="Arial" w:cs="Arial"/>
          <w:sz w:val="20"/>
        </w:rPr>
        <w:t>5</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183A63F3"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w:t>
      </w:r>
      <w:r w:rsidR="00D433CD">
        <w:rPr>
          <w:rFonts w:ascii="Arial" w:hAnsi="Arial" w:cs="Arial"/>
          <w:sz w:val="20"/>
          <w:szCs w:val="20"/>
        </w:rPr>
        <w:t>1</w:t>
      </w:r>
      <w:r w:rsidRPr="00B14C47">
        <w:rPr>
          <w:rFonts w:ascii="Arial" w:hAnsi="Arial" w:cs="Arial"/>
          <w:sz w:val="20"/>
          <w:szCs w:val="20"/>
        </w:rPr>
        <w:t>.</w:t>
      </w:r>
      <w:r w:rsidR="00D433CD">
        <w:rPr>
          <w:rFonts w:ascii="Arial" w:hAnsi="Arial" w:cs="Arial"/>
          <w:sz w:val="20"/>
          <w:szCs w:val="20"/>
        </w:rPr>
        <w:t>12</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368E2A58" w14:textId="13192251" w:rsidR="0016590A" w:rsidRDefault="0016590A" w:rsidP="0016590A">
      <w:pPr>
        <w:pStyle w:val="BodyTextIndent"/>
        <w:spacing w:before="0"/>
        <w:ind w:left="0" w:right="-31"/>
        <w:rPr>
          <w:rFonts w:ascii="Arial" w:hAnsi="Arial" w:cs="Arial"/>
          <w:sz w:val="20"/>
        </w:rPr>
      </w:pPr>
      <w:r>
        <w:rPr>
          <w:rFonts w:ascii="Arial" w:hAnsi="Arial" w:cs="Arial"/>
          <w:i/>
          <w:sz w:val="20"/>
          <w:szCs w:val="20"/>
        </w:rPr>
        <w:t xml:space="preserve">Предходен период: </w:t>
      </w:r>
      <w:r>
        <w:rPr>
          <w:rFonts w:ascii="Arial" w:hAnsi="Arial" w:cs="Arial"/>
          <w:sz w:val="20"/>
        </w:rPr>
        <w:t xml:space="preserve">годината, започваща на 01.01.2024г. и завършваща на 31.12.2024г. </w:t>
      </w:r>
    </w:p>
    <w:p w14:paraId="5C88BA26" w14:textId="77777777" w:rsidR="00B66DF8" w:rsidRPr="00B14C47" w:rsidRDefault="00B66DF8" w:rsidP="00B66DF8">
      <w:pPr>
        <w:ind w:right="-31"/>
        <w:rPr>
          <w:rFonts w:ascii="Arial" w:hAnsi="Arial" w:cs="Arial"/>
          <w:i/>
          <w:sz w:val="20"/>
        </w:rPr>
      </w:pPr>
    </w:p>
    <w:p w14:paraId="045A1EFF" w14:textId="6A1B2335" w:rsidR="00B66DF8" w:rsidRPr="00195FFE"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0E249E">
        <w:rPr>
          <w:rFonts w:ascii="Arial" w:hAnsi="Arial" w:cs="Arial"/>
          <w:i/>
          <w:sz w:val="20"/>
        </w:rPr>
        <w:t>1</w:t>
      </w:r>
      <w:r w:rsidR="00D433CD">
        <w:rPr>
          <w:rFonts w:ascii="Arial" w:hAnsi="Arial" w:cs="Arial"/>
          <w:i/>
          <w:sz w:val="20"/>
        </w:rPr>
        <w:t>9</w:t>
      </w:r>
      <w:r w:rsidR="009B5795" w:rsidRPr="00195FFE">
        <w:rPr>
          <w:rFonts w:ascii="Arial" w:hAnsi="Arial" w:cs="Arial"/>
          <w:i/>
          <w:sz w:val="20"/>
        </w:rPr>
        <w:t>.</w:t>
      </w:r>
      <w:r w:rsidR="00D433CD">
        <w:rPr>
          <w:rFonts w:ascii="Arial" w:hAnsi="Arial" w:cs="Arial"/>
          <w:i/>
          <w:sz w:val="20"/>
        </w:rPr>
        <w:t>01</w:t>
      </w:r>
      <w:r w:rsidR="009B5795" w:rsidRPr="00195FFE">
        <w:rPr>
          <w:rFonts w:ascii="Arial" w:hAnsi="Arial" w:cs="Arial"/>
          <w:i/>
          <w:sz w:val="20"/>
        </w:rPr>
        <w:t>.20</w:t>
      </w:r>
      <w:r w:rsidR="00DB56EE" w:rsidRPr="00195FFE">
        <w:rPr>
          <w:rFonts w:ascii="Arial" w:hAnsi="Arial" w:cs="Arial"/>
          <w:i/>
          <w:sz w:val="20"/>
        </w:rPr>
        <w:t>2</w:t>
      </w:r>
      <w:r w:rsidR="00D433CD">
        <w:rPr>
          <w:rFonts w:ascii="Arial" w:hAnsi="Arial" w:cs="Arial"/>
          <w:i/>
          <w:sz w:val="20"/>
        </w:rPr>
        <w:t>6</w:t>
      </w:r>
      <w:r w:rsidR="009B5795" w:rsidRPr="00195FFE">
        <w:rPr>
          <w:rFonts w:ascii="Arial" w:hAnsi="Arial" w:cs="Arial"/>
          <w:i/>
          <w:sz w:val="20"/>
        </w:rPr>
        <w:t>г</w:t>
      </w:r>
      <w:r w:rsidR="00C13396" w:rsidRPr="00195FFE">
        <w:rPr>
          <w:rFonts w:ascii="Arial" w:hAnsi="Arial" w:cs="Arial"/>
          <w:i/>
          <w:sz w:val="20"/>
        </w:rPr>
        <w:t>.</w:t>
      </w:r>
    </w:p>
    <w:p w14:paraId="1063D24A" w14:textId="77777777" w:rsidR="00B66DF8" w:rsidRPr="00195FFE" w:rsidRDefault="00B66DF8" w:rsidP="00B66DF8">
      <w:pPr>
        <w:ind w:right="-31"/>
        <w:rPr>
          <w:rFonts w:ascii="Arial" w:hAnsi="Arial" w:cs="Arial"/>
          <w:i/>
          <w:sz w:val="20"/>
        </w:rPr>
      </w:pPr>
    </w:p>
    <w:p w14:paraId="5AE48023" w14:textId="6B89D9D6" w:rsidR="005D3B48" w:rsidRDefault="00B66DF8" w:rsidP="0062161C">
      <w:pPr>
        <w:ind w:right="-31"/>
        <w:rPr>
          <w:rFonts w:ascii="Arial" w:hAnsi="Arial" w:cs="Arial"/>
          <w:sz w:val="20"/>
        </w:rPr>
      </w:pPr>
      <w:r w:rsidRPr="00195FFE">
        <w:rPr>
          <w:rFonts w:ascii="Arial" w:hAnsi="Arial" w:cs="Arial"/>
          <w:i/>
          <w:sz w:val="20"/>
        </w:rPr>
        <w:t xml:space="preserve">Орган одобрил </w:t>
      </w:r>
      <w:r w:rsidR="005D3B48" w:rsidRPr="00195FFE">
        <w:rPr>
          <w:rFonts w:ascii="Arial" w:hAnsi="Arial" w:cs="Arial"/>
          <w:i/>
          <w:sz w:val="20"/>
        </w:rPr>
        <w:t xml:space="preserve">индивидуалния </w:t>
      </w:r>
      <w:r w:rsidRPr="00195FFE">
        <w:rPr>
          <w:rFonts w:ascii="Arial" w:hAnsi="Arial" w:cs="Arial"/>
          <w:i/>
          <w:sz w:val="20"/>
        </w:rPr>
        <w:t>финансов отчет:</w:t>
      </w:r>
      <w:r w:rsidRPr="00195FFE">
        <w:rPr>
          <w:rFonts w:ascii="Arial" w:hAnsi="Arial" w:cs="Arial"/>
          <w:sz w:val="20"/>
        </w:rPr>
        <w:t xml:space="preserve"> Съвет на директорите, чрез решение вписано в протокол от </w:t>
      </w:r>
      <w:r w:rsidR="0016590A">
        <w:rPr>
          <w:rFonts w:ascii="Arial" w:hAnsi="Arial" w:cs="Arial"/>
          <w:sz w:val="20"/>
        </w:rPr>
        <w:t>1</w:t>
      </w:r>
      <w:r w:rsidR="00D433CD">
        <w:rPr>
          <w:rFonts w:ascii="Arial" w:hAnsi="Arial" w:cs="Arial"/>
          <w:sz w:val="20"/>
        </w:rPr>
        <w:t>9</w:t>
      </w:r>
      <w:r w:rsidR="009B5795" w:rsidRPr="00195FFE">
        <w:rPr>
          <w:rFonts w:ascii="Arial" w:hAnsi="Arial" w:cs="Arial"/>
          <w:sz w:val="20"/>
        </w:rPr>
        <w:t>.</w:t>
      </w:r>
      <w:r w:rsidR="00D433CD">
        <w:rPr>
          <w:rFonts w:ascii="Arial" w:hAnsi="Arial" w:cs="Arial"/>
          <w:sz w:val="20"/>
        </w:rPr>
        <w:t>01</w:t>
      </w:r>
      <w:r w:rsidR="009B5795" w:rsidRPr="00195FFE">
        <w:rPr>
          <w:rFonts w:ascii="Arial" w:hAnsi="Arial" w:cs="Arial"/>
          <w:sz w:val="20"/>
        </w:rPr>
        <w:t>.20</w:t>
      </w:r>
      <w:r w:rsidR="00791666" w:rsidRPr="00195FFE">
        <w:rPr>
          <w:rFonts w:ascii="Arial" w:hAnsi="Arial" w:cs="Arial"/>
          <w:sz w:val="20"/>
        </w:rPr>
        <w:t>2</w:t>
      </w:r>
      <w:r w:rsidR="00D433CD">
        <w:rPr>
          <w:rFonts w:ascii="Arial" w:hAnsi="Arial" w:cs="Arial"/>
          <w:sz w:val="20"/>
        </w:rPr>
        <w:t>6</w:t>
      </w:r>
      <w:r w:rsidR="00791666" w:rsidRPr="00195FFE">
        <w:rPr>
          <w:rFonts w:ascii="Arial" w:hAnsi="Arial" w:cs="Arial"/>
          <w:sz w:val="20"/>
        </w:rPr>
        <w:t>г</w:t>
      </w:r>
      <w:r w:rsidR="00C13396" w:rsidRPr="00195FFE">
        <w:rPr>
          <w:rFonts w:ascii="Arial" w:hAnsi="Arial" w:cs="Arial"/>
          <w:sz w:val="20"/>
        </w:rPr>
        <w:t>.</w:t>
      </w:r>
    </w:p>
    <w:p w14:paraId="2D366DD7" w14:textId="77777777" w:rsidR="0062161C" w:rsidRDefault="0062161C" w:rsidP="0062161C">
      <w:pPr>
        <w:ind w:right="-31"/>
        <w:rPr>
          <w:rFonts w:ascii="Arial" w:hAnsi="Arial" w:cs="Arial"/>
          <w:sz w:val="20"/>
        </w:rPr>
      </w:pPr>
    </w:p>
    <w:p w14:paraId="293FDAA3" w14:textId="77777777" w:rsidR="0062161C" w:rsidRPr="0062161C" w:rsidRDefault="0062161C" w:rsidP="0062161C">
      <w:pPr>
        <w:ind w:right="-31"/>
        <w:rPr>
          <w:rFonts w:ascii="Arial" w:hAnsi="Arial" w:cs="Arial"/>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75FA1D17" w14:textId="7F7C9FE0" w:rsidR="0016590A" w:rsidRDefault="0016590A" w:rsidP="00485C59">
      <w:pPr>
        <w:rPr>
          <w:rFonts w:ascii="Arial" w:hAnsi="Arial" w:cs="Arial"/>
          <w:b/>
          <w:snapToGrid w:val="0"/>
          <w:sz w:val="24"/>
          <w:szCs w:val="24"/>
        </w:rPr>
      </w:pPr>
    </w:p>
    <w:p w14:paraId="439D652F" w14:textId="77777777" w:rsidR="00CC18AE" w:rsidRDefault="00CC18AE" w:rsidP="000C0A89">
      <w:pPr>
        <w:ind w:right="-1370"/>
        <w:rPr>
          <w:rFonts w:ascii="Arial" w:hAnsi="Arial" w:cs="Arial"/>
          <w:sz w:val="16"/>
          <w:szCs w:val="16"/>
        </w:rPr>
      </w:pPr>
    </w:p>
    <w:p w14:paraId="466B09F7" w14:textId="77777777" w:rsidR="000E249E" w:rsidRDefault="000E249E" w:rsidP="000C0A89">
      <w:pPr>
        <w:ind w:right="-1370"/>
        <w:rPr>
          <w:rFonts w:ascii="Arial" w:hAnsi="Arial" w:cs="Arial"/>
          <w:sz w:val="16"/>
          <w:szCs w:val="16"/>
        </w:rPr>
      </w:pPr>
    </w:p>
    <w:p w14:paraId="6A190892" w14:textId="2276D557" w:rsidR="000E249E" w:rsidRPr="00B14C47" w:rsidRDefault="000E249E" w:rsidP="000C0A89">
      <w:pPr>
        <w:ind w:right="-1370"/>
        <w:rPr>
          <w:rFonts w:ascii="Arial" w:hAnsi="Arial" w:cs="Arial"/>
          <w:sz w:val="16"/>
          <w:szCs w:val="16"/>
        </w:rPr>
      </w:pPr>
    </w:p>
    <w:p w14:paraId="7BA80604" w14:textId="264FB70E" w:rsidR="00940147" w:rsidRDefault="00C0035A" w:rsidP="00B66DF8">
      <w:pPr>
        <w:pStyle w:val="Heading1"/>
        <w:spacing w:before="0"/>
        <w:rPr>
          <w:rFonts w:ascii="Arial" w:hAnsi="Arial" w:cs="Arial"/>
          <w:snapToGrid w:val="0"/>
          <w:sz w:val="20"/>
          <w:szCs w:val="20"/>
          <w:lang w:val="bg-BG"/>
        </w:rPr>
      </w:pPr>
      <w:bookmarkStart w:id="6" w:name="_Toc247959124"/>
      <w:bookmarkStart w:id="7" w:name="_Toc270424832"/>
      <w:bookmarkStart w:id="8" w:name="_Toc195004972"/>
      <w:r w:rsidRPr="00C0035A">
        <w:rPr>
          <w:noProof/>
        </w:rPr>
        <w:drawing>
          <wp:inline distT="0" distB="0" distL="0" distR="0" wp14:anchorId="39C4F94A" wp14:editId="06AEE0AE">
            <wp:extent cx="6011545" cy="1493520"/>
            <wp:effectExtent l="0" t="0" r="8255" b="0"/>
            <wp:docPr id="1866544500"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493520"/>
                    </a:xfrm>
                    <a:prstGeom prst="rect">
                      <a:avLst/>
                    </a:prstGeom>
                    <a:noFill/>
                    <a:ln>
                      <a:noFill/>
                    </a:ln>
                  </pic:spPr>
                </pic:pic>
              </a:graphicData>
            </a:graphic>
          </wp:inline>
        </w:drawing>
      </w:r>
    </w:p>
    <w:p w14:paraId="402F87B1" w14:textId="77777777" w:rsidR="00940147" w:rsidRDefault="00940147" w:rsidP="00B66DF8">
      <w:pPr>
        <w:pStyle w:val="Heading1"/>
        <w:spacing w:before="0"/>
        <w:rPr>
          <w:rFonts w:ascii="Arial" w:hAnsi="Arial" w:cs="Arial"/>
          <w:snapToGrid w:val="0"/>
          <w:sz w:val="20"/>
          <w:szCs w:val="20"/>
          <w:lang w:val="bg-BG"/>
        </w:rPr>
      </w:pPr>
    </w:p>
    <w:p w14:paraId="083FA414" w14:textId="4964EEF2" w:rsidR="00B66DF8" w:rsidRPr="00B14C47" w:rsidRDefault="00B66DF8" w:rsidP="00B66DF8">
      <w:pPr>
        <w:pStyle w:val="Heading1"/>
        <w:spacing w:before="0"/>
        <w:rPr>
          <w:rFonts w:ascii="Arial" w:hAnsi="Arial" w:cs="Arial"/>
          <w:i/>
          <w:sz w:val="20"/>
          <w:szCs w:val="20"/>
          <w:lang w:val="bg-BG"/>
        </w:rPr>
      </w:pPr>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Heading2"/>
        <w:spacing w:before="0"/>
        <w:rPr>
          <w:rFonts w:ascii="Arial" w:hAnsi="Arial" w:cs="Arial"/>
          <w:i/>
          <w:sz w:val="20"/>
          <w:szCs w:val="20"/>
        </w:rPr>
      </w:pPr>
    </w:p>
    <w:p w14:paraId="23BE6E24" w14:textId="77777777" w:rsidR="00B66DF8" w:rsidRPr="002E4F71" w:rsidRDefault="00B66DF8" w:rsidP="00B66DF8">
      <w:pPr>
        <w:pStyle w:val="Heading2"/>
        <w:spacing w:before="0"/>
        <w:rPr>
          <w:rFonts w:ascii="Arial" w:hAnsi="Arial" w:cs="Arial"/>
          <w:i/>
          <w:sz w:val="20"/>
          <w:szCs w:val="20"/>
          <w:lang w:val="bg-BG"/>
        </w:rPr>
      </w:pPr>
      <w:bookmarkStart w:id="13" w:name="_Toc195004973"/>
      <w:r w:rsidRPr="002E4F71">
        <w:rPr>
          <w:rFonts w:ascii="Arial" w:hAnsi="Arial" w:cs="Arial"/>
          <w:i/>
          <w:sz w:val="20"/>
          <w:szCs w:val="20"/>
          <w:lang w:val="bg-BG"/>
        </w:rPr>
        <w:t>ОСНОВНИ ПОКАЗАТЕЛИ НА СТОПАНСКАТА СРЕДА</w:t>
      </w:r>
      <w:bookmarkEnd w:id="9"/>
      <w:bookmarkEnd w:id="13"/>
    </w:p>
    <w:p w14:paraId="5B9427E1" w14:textId="6D1E7FFE" w:rsidR="00DB56EE" w:rsidRPr="00A55AC8" w:rsidRDefault="00DB56EE" w:rsidP="00DB56EE">
      <w:pPr>
        <w:rPr>
          <w:rFonts w:ascii="Arial" w:hAnsi="Arial" w:cs="Arial"/>
          <w:sz w:val="20"/>
        </w:rPr>
      </w:pPr>
      <w:r w:rsidRPr="002E4F71">
        <w:rPr>
          <w:rFonts w:ascii="Arial" w:hAnsi="Arial" w:cs="Arial"/>
          <w:sz w:val="20"/>
        </w:rPr>
        <w:t xml:space="preserve">Основните показатели на стопанската среда, които оказват влияние върху дейността на Дружеството, за периода </w:t>
      </w:r>
      <w:r w:rsidR="002E4F71" w:rsidRPr="00A55AC8">
        <w:rPr>
          <w:rFonts w:ascii="Arial" w:hAnsi="Arial" w:cs="Arial"/>
          <w:sz w:val="20"/>
        </w:rPr>
        <w:t xml:space="preserve">2024 </w:t>
      </w:r>
      <w:r w:rsidRPr="00A55AC8">
        <w:rPr>
          <w:rFonts w:ascii="Arial" w:hAnsi="Arial" w:cs="Arial"/>
          <w:sz w:val="20"/>
        </w:rPr>
        <w:t xml:space="preserve">– </w:t>
      </w:r>
      <w:r w:rsidR="002E4F71" w:rsidRPr="00A55AC8">
        <w:rPr>
          <w:rFonts w:ascii="Arial" w:hAnsi="Arial" w:cs="Arial"/>
          <w:sz w:val="20"/>
        </w:rPr>
        <w:t>20</w:t>
      </w:r>
      <w:r w:rsidR="002E4F71" w:rsidRPr="00A55AC8">
        <w:rPr>
          <w:rFonts w:ascii="Arial" w:hAnsi="Arial" w:cs="Arial"/>
          <w:sz w:val="20"/>
          <w:lang w:val="en-US"/>
        </w:rPr>
        <w:t>2</w:t>
      </w:r>
      <w:r w:rsidR="002E4F71" w:rsidRPr="00A55AC8">
        <w:rPr>
          <w:rFonts w:ascii="Arial" w:hAnsi="Arial" w:cs="Arial"/>
          <w:sz w:val="20"/>
        </w:rPr>
        <w:t xml:space="preserve">3 </w:t>
      </w:r>
      <w:r w:rsidRPr="00A55AC8">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149"/>
        <w:gridCol w:w="1487"/>
        <w:gridCol w:w="1551"/>
        <w:gridCol w:w="1116"/>
        <w:gridCol w:w="1154"/>
      </w:tblGrid>
      <w:tr w:rsidR="00806F20" w:rsidRPr="002E4F71"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A55AC8" w:rsidRDefault="00806F20" w:rsidP="00806F20">
            <w:pPr>
              <w:spacing w:line="256" w:lineRule="auto"/>
              <w:rPr>
                <w:rFonts w:ascii="Arial" w:hAnsi="Arial" w:cs="Arial"/>
                <w:b/>
                <w:bCs/>
                <w:color w:val="000000"/>
                <w:sz w:val="20"/>
                <w:lang w:eastAsia="bg-BG"/>
              </w:rPr>
            </w:pPr>
            <w:r w:rsidRPr="00A55AC8">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46211820"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2024</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EA77058"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2023</w:t>
            </w:r>
          </w:p>
        </w:tc>
      </w:tr>
      <w:tr w:rsidR="002E4F71" w:rsidRPr="002E4F71"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788DCF4F"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202 861</w:t>
            </w:r>
          </w:p>
        </w:tc>
        <w:tc>
          <w:tcPr>
            <w:tcW w:w="820" w:type="pct"/>
            <w:tcBorders>
              <w:top w:val="single" w:sz="4" w:space="0" w:color="auto"/>
              <w:left w:val="nil"/>
              <w:bottom w:val="single" w:sz="4" w:space="0" w:color="auto"/>
              <w:right w:val="single" w:sz="4" w:space="0" w:color="auto"/>
            </w:tcBorders>
            <w:noWrap/>
            <w:vAlign w:val="bottom"/>
          </w:tcPr>
          <w:p w14:paraId="51A0E380" w14:textId="7E5EA6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Q4/202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44488A2" w14:textId="1033487F"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1A70E13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185 233</w:t>
            </w:r>
          </w:p>
        </w:tc>
      </w:tr>
      <w:tr w:rsidR="002E4F71" w:rsidRPr="002E4F71"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777CD3D8"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eastAsia="bg-BG"/>
              </w:rPr>
              <w:t>2,80</w:t>
            </w:r>
            <w:r w:rsidRPr="00A55AC8">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623A9A56" w14:textId="0AD7EFA5"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w:t>
            </w:r>
            <w:r w:rsidRPr="00A55AC8">
              <w:rPr>
                <w:rFonts w:ascii="Arial" w:hAnsi="Arial" w:cs="Arial"/>
                <w:bCs/>
                <w:color w:val="000000" w:themeColor="text1"/>
                <w:sz w:val="20"/>
                <w:lang w:eastAsia="bg-BG"/>
              </w:rPr>
              <w:t>4</w:t>
            </w:r>
            <w:r w:rsidRPr="00A55AC8">
              <w:rPr>
                <w:rFonts w:ascii="Arial" w:hAnsi="Arial" w:cs="Arial"/>
                <w:bCs/>
                <w:color w:val="000000" w:themeColor="text1"/>
                <w:sz w:val="20"/>
                <w:lang w:val="en-US" w:eastAsia="bg-BG"/>
              </w:rPr>
              <w:t>/202</w:t>
            </w:r>
            <w:r w:rsidRPr="00A55AC8">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7D3FC748" w14:textId="19114F41"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481A40F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1,9</w:t>
            </w:r>
            <w:r w:rsidRPr="002E4F71">
              <w:rPr>
                <w:rFonts w:ascii="Arial" w:hAnsi="Arial" w:cs="Arial"/>
                <w:bCs/>
                <w:color w:val="000000"/>
                <w:sz w:val="20"/>
                <w:lang w:val="en-GB" w:eastAsia="bg-BG"/>
              </w:rPr>
              <w:t>0</w:t>
            </w:r>
            <w:r w:rsidRPr="002E4F71">
              <w:rPr>
                <w:rFonts w:ascii="Arial" w:hAnsi="Arial" w:cs="Arial"/>
                <w:bCs/>
                <w:color w:val="000000"/>
                <w:sz w:val="20"/>
                <w:lang w:val="en-US" w:eastAsia="bg-BG"/>
              </w:rPr>
              <w:t>%</w:t>
            </w:r>
          </w:p>
        </w:tc>
      </w:tr>
      <w:tr w:rsidR="002E4F71" w:rsidRPr="002E4F71"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323A063D"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2,20</w:t>
            </w:r>
            <w:r w:rsidRPr="002E4F71">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477D3281" w14:textId="770E1D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12.2024</w:t>
            </w:r>
          </w:p>
        </w:tc>
        <w:tc>
          <w:tcPr>
            <w:tcW w:w="590" w:type="pct"/>
            <w:tcBorders>
              <w:top w:val="single" w:sz="4" w:space="0" w:color="auto"/>
              <w:left w:val="nil"/>
              <w:bottom w:val="single" w:sz="4" w:space="0" w:color="auto"/>
              <w:right w:val="single" w:sz="4" w:space="0" w:color="auto"/>
            </w:tcBorders>
            <w:noWrap/>
            <w:vAlign w:val="bottom"/>
          </w:tcPr>
          <w:p w14:paraId="29075A6D" w14:textId="739B861D"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3074EB9D"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sz w:val="20"/>
                <w:lang w:eastAsia="bg-BG"/>
              </w:rPr>
              <w:t>4,70</w:t>
            </w:r>
            <w:r w:rsidRPr="00A55AC8">
              <w:rPr>
                <w:rFonts w:ascii="Arial" w:hAnsi="Arial" w:cs="Arial"/>
                <w:bCs/>
                <w:color w:val="000000"/>
                <w:sz w:val="20"/>
                <w:lang w:val="en-US" w:eastAsia="bg-BG"/>
              </w:rPr>
              <w:t>%</w:t>
            </w:r>
          </w:p>
        </w:tc>
      </w:tr>
      <w:tr w:rsidR="002E4F71" w:rsidRPr="002E4F71"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107FC13A"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1.8</w:t>
            </w:r>
            <w:r w:rsidRPr="002E4F71">
              <w:rPr>
                <w:rFonts w:ascii="Arial" w:hAnsi="Arial" w:cs="Arial"/>
                <w:bCs/>
                <w:color w:val="000000" w:themeColor="text1"/>
                <w:sz w:val="20"/>
                <w:lang w:eastAsia="bg-BG"/>
              </w:rPr>
              <w:t>0</w:t>
            </w:r>
            <w:r w:rsidRPr="002E4F71">
              <w:rPr>
                <w:rFonts w:ascii="Arial" w:hAnsi="Arial" w:cs="Arial"/>
                <w:bCs/>
                <w:color w:val="000000" w:themeColor="text1"/>
                <w:sz w:val="20"/>
                <w:lang w:val="en-US" w:eastAsia="bg-BG"/>
              </w:rPr>
              <w:t>785</w:t>
            </w:r>
          </w:p>
        </w:tc>
        <w:tc>
          <w:tcPr>
            <w:tcW w:w="820" w:type="pct"/>
            <w:tcBorders>
              <w:top w:val="single" w:sz="4" w:space="0" w:color="auto"/>
              <w:left w:val="nil"/>
              <w:bottom w:val="single" w:sz="4" w:space="0" w:color="auto"/>
              <w:right w:val="single" w:sz="4" w:space="0" w:color="auto"/>
            </w:tcBorders>
            <w:noWrap/>
            <w:vAlign w:val="bottom"/>
          </w:tcPr>
          <w:p w14:paraId="3DD5467E" w14:textId="102483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39FE3574" w14:textId="63DE05C7"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57909EA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val="en-US" w:eastAsia="bg-BG"/>
              </w:rPr>
              <w:t>1.8</w:t>
            </w:r>
            <w:r w:rsidRPr="002E4F71">
              <w:rPr>
                <w:rFonts w:ascii="Arial" w:hAnsi="Arial" w:cs="Arial"/>
                <w:bCs/>
                <w:color w:val="000000"/>
                <w:sz w:val="20"/>
                <w:lang w:eastAsia="bg-BG"/>
              </w:rPr>
              <w:t>0897</w:t>
            </w:r>
          </w:p>
        </w:tc>
      </w:tr>
      <w:tr w:rsidR="002E4F71" w:rsidRPr="002E4F71"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62223937"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w:t>
            </w:r>
            <w:r w:rsidRPr="002E4F71">
              <w:rPr>
                <w:rFonts w:ascii="Arial" w:hAnsi="Arial" w:cs="Arial"/>
                <w:bCs/>
                <w:color w:val="000000" w:themeColor="text1"/>
                <w:sz w:val="20"/>
                <w:lang w:val="en-US" w:eastAsia="bg-BG"/>
              </w:rPr>
              <w:t>88260</w:t>
            </w:r>
          </w:p>
        </w:tc>
        <w:tc>
          <w:tcPr>
            <w:tcW w:w="820" w:type="pct"/>
            <w:tcBorders>
              <w:top w:val="single" w:sz="4" w:space="0" w:color="auto"/>
              <w:left w:val="nil"/>
              <w:bottom w:val="single" w:sz="4" w:space="0" w:color="auto"/>
              <w:right w:val="single" w:sz="4" w:space="0" w:color="auto"/>
            </w:tcBorders>
            <w:noWrap/>
            <w:vAlign w:val="bottom"/>
          </w:tcPr>
          <w:p w14:paraId="090B1293" w14:textId="55F9CBB2"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31.12.2024</w:t>
            </w:r>
          </w:p>
        </w:tc>
        <w:tc>
          <w:tcPr>
            <w:tcW w:w="590" w:type="pct"/>
            <w:tcBorders>
              <w:top w:val="single" w:sz="4" w:space="0" w:color="auto"/>
              <w:left w:val="nil"/>
              <w:bottom w:val="single" w:sz="4" w:space="0" w:color="auto"/>
              <w:right w:val="single" w:sz="4" w:space="0" w:color="auto"/>
            </w:tcBorders>
            <w:noWrap/>
            <w:vAlign w:val="bottom"/>
          </w:tcPr>
          <w:p w14:paraId="08D440FC" w14:textId="6B0847E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37BB336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1,76998</w:t>
            </w:r>
          </w:p>
        </w:tc>
      </w:tr>
      <w:tr w:rsidR="002E4F71" w:rsidRPr="002E4F71"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23AF98D0" w:rsidR="002E4F71" w:rsidRPr="00A55AC8" w:rsidRDefault="002E4F71" w:rsidP="002E4F71">
            <w:pPr>
              <w:spacing w:line="256" w:lineRule="auto"/>
              <w:jc w:val="right"/>
              <w:rPr>
                <w:rFonts w:ascii="Arial" w:hAnsi="Arial" w:cs="Arial"/>
                <w:bCs/>
                <w:color w:val="000000"/>
                <w:sz w:val="20"/>
                <w:lang w:val="en-US" w:eastAsia="bg-BG"/>
              </w:rPr>
            </w:pPr>
            <w:r w:rsidRPr="00A55AC8">
              <w:rPr>
                <w:rFonts w:ascii="Arial" w:hAnsi="Arial" w:cs="Arial"/>
                <w:bCs/>
                <w:color w:val="000000" w:themeColor="text1"/>
                <w:sz w:val="20"/>
                <w:lang w:eastAsia="bg-BG"/>
              </w:rPr>
              <w:t>3,</w:t>
            </w:r>
            <w:r w:rsidRPr="00A55AC8">
              <w:rPr>
                <w:rFonts w:ascii="Arial" w:hAnsi="Arial" w:cs="Arial"/>
                <w:bCs/>
                <w:color w:val="000000" w:themeColor="text1"/>
                <w:sz w:val="20"/>
                <w:lang w:val="en-GB" w:eastAsia="bg-BG"/>
              </w:rPr>
              <w:t>8</w:t>
            </w:r>
            <w:r w:rsidRPr="00A55AC8">
              <w:rPr>
                <w:rFonts w:ascii="Arial" w:hAnsi="Arial" w:cs="Arial"/>
                <w:bCs/>
                <w:color w:val="000000" w:themeColor="text1"/>
                <w:sz w:val="20"/>
                <w:lang w:eastAsia="bg-BG"/>
              </w:rPr>
              <w:t>0%</w:t>
            </w:r>
          </w:p>
        </w:tc>
        <w:tc>
          <w:tcPr>
            <w:tcW w:w="820" w:type="pct"/>
            <w:tcBorders>
              <w:top w:val="single" w:sz="4" w:space="0" w:color="auto"/>
              <w:left w:val="nil"/>
              <w:bottom w:val="single" w:sz="4" w:space="0" w:color="auto"/>
              <w:right w:val="single" w:sz="4" w:space="0" w:color="auto"/>
            </w:tcBorders>
            <w:noWrap/>
            <w:vAlign w:val="bottom"/>
          </w:tcPr>
          <w:p w14:paraId="299D5E3F" w14:textId="2286255A"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Q4/2024</w:t>
            </w:r>
          </w:p>
        </w:tc>
        <w:tc>
          <w:tcPr>
            <w:tcW w:w="590" w:type="pct"/>
            <w:tcBorders>
              <w:top w:val="single" w:sz="4" w:space="0" w:color="auto"/>
              <w:left w:val="nil"/>
              <w:bottom w:val="single" w:sz="4" w:space="0" w:color="auto"/>
              <w:right w:val="single" w:sz="4" w:space="0" w:color="auto"/>
            </w:tcBorders>
            <w:noWrap/>
            <w:vAlign w:val="bottom"/>
          </w:tcPr>
          <w:p w14:paraId="15356A0F" w14:textId="0F53B39B"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191E06D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4,20%</w:t>
            </w:r>
          </w:p>
        </w:tc>
      </w:tr>
      <w:tr w:rsidR="002E4F71" w:rsidRPr="002E4F71"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FF95586"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3,04%</w:t>
            </w:r>
          </w:p>
        </w:tc>
        <w:tc>
          <w:tcPr>
            <w:tcW w:w="820" w:type="pct"/>
            <w:tcBorders>
              <w:top w:val="single" w:sz="4" w:space="0" w:color="auto"/>
              <w:left w:val="nil"/>
              <w:bottom w:val="single" w:sz="4" w:space="0" w:color="auto"/>
              <w:right w:val="single" w:sz="4" w:space="0" w:color="auto"/>
            </w:tcBorders>
            <w:noWrap/>
            <w:vAlign w:val="bottom"/>
          </w:tcPr>
          <w:p w14:paraId="6B7CA6AD" w14:textId="0B52D35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12.202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8131C68" w14:textId="03828C6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4250C5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3,8</w:t>
            </w:r>
            <w:r w:rsidRPr="002E4F71">
              <w:rPr>
                <w:rFonts w:ascii="Arial" w:hAnsi="Arial" w:cs="Arial"/>
                <w:bCs/>
                <w:color w:val="000000"/>
                <w:sz w:val="20"/>
                <w:lang w:val="en-US" w:eastAsia="bg-BG"/>
              </w:rPr>
              <w:t>0</w:t>
            </w:r>
            <w:r w:rsidRPr="002E4F71">
              <w:rPr>
                <w:rFonts w:ascii="Arial" w:hAnsi="Arial" w:cs="Arial"/>
                <w:bCs/>
                <w:color w:val="000000"/>
                <w:sz w:val="20"/>
                <w:lang w:eastAsia="bg-BG"/>
              </w:rPr>
              <w:t>%</w:t>
            </w:r>
          </w:p>
        </w:tc>
      </w:tr>
    </w:tbl>
    <w:p w14:paraId="04073BB6" w14:textId="5964B165" w:rsidR="00DB56EE" w:rsidRPr="00B14C47" w:rsidRDefault="00DB56EE" w:rsidP="00DB56EE">
      <w:pPr>
        <w:rPr>
          <w:rFonts w:ascii="Arial" w:hAnsi="Arial" w:cs="Arial"/>
          <w:color w:val="000000"/>
          <w:sz w:val="20"/>
        </w:rPr>
      </w:pPr>
      <w:r w:rsidRPr="00A55AC8">
        <w:rPr>
          <w:rFonts w:ascii="Arial" w:hAnsi="Arial" w:cs="Arial"/>
          <w:bCs/>
          <w:i/>
          <w:iCs/>
          <w:sz w:val="20"/>
        </w:rPr>
        <w:t xml:space="preserve">*Данните за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г</w:t>
      </w:r>
      <w:r w:rsidRPr="00A55AC8">
        <w:rPr>
          <w:rFonts w:ascii="Arial" w:hAnsi="Arial" w:cs="Arial"/>
          <w:bCs/>
          <w:i/>
          <w:iCs/>
          <w:sz w:val="20"/>
        </w:rPr>
        <w:t xml:space="preserve">. са предварителни, Източници НСИ, БНБ - публикации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и 202</w:t>
      </w:r>
      <w:r w:rsidR="002E4F71">
        <w:rPr>
          <w:rFonts w:ascii="Arial" w:hAnsi="Arial" w:cs="Arial"/>
          <w:bCs/>
          <w:i/>
          <w:iCs/>
          <w:sz w:val="20"/>
          <w:lang w:val="en-US"/>
        </w:rPr>
        <w:t>5</w:t>
      </w:r>
      <w:r w:rsidR="002E4F71" w:rsidRPr="00A55AC8">
        <w:rPr>
          <w:rFonts w:ascii="Arial" w:hAnsi="Arial" w:cs="Arial"/>
          <w:bCs/>
          <w:i/>
          <w:iCs/>
          <w:sz w:val="20"/>
        </w:rPr>
        <w:t>г</w:t>
      </w:r>
      <w:r w:rsidRPr="002E4F71">
        <w:rPr>
          <w:rFonts w:ascii="Arial" w:hAnsi="Arial" w:cs="Arial"/>
          <w:bCs/>
          <w:i/>
          <w:iCs/>
          <w:sz w:val="20"/>
        </w:rPr>
        <w:t>.</w:t>
      </w:r>
    </w:p>
    <w:p w14:paraId="248A5830" w14:textId="77777777" w:rsidR="00984D04" w:rsidRPr="00B14C47" w:rsidRDefault="00984D04" w:rsidP="00B66DF8">
      <w:pPr>
        <w:pStyle w:val="Heading2"/>
        <w:spacing w:before="0"/>
        <w:rPr>
          <w:rFonts w:ascii="Arial" w:hAnsi="Arial" w:cs="Arial"/>
          <w:i/>
          <w:sz w:val="20"/>
          <w:szCs w:val="20"/>
          <w:lang w:val="bg-BG"/>
        </w:rPr>
      </w:pPr>
    </w:p>
    <w:p w14:paraId="6A65DD36" w14:textId="77777777" w:rsidR="00B66DF8" w:rsidRPr="00B14C47" w:rsidRDefault="00B66DF8" w:rsidP="00B66DF8">
      <w:pPr>
        <w:pStyle w:val="Heading2"/>
        <w:spacing w:before="0"/>
        <w:rPr>
          <w:rFonts w:ascii="Arial" w:hAnsi="Arial" w:cs="Arial"/>
          <w:sz w:val="20"/>
          <w:szCs w:val="20"/>
          <w:lang w:val="bg-BG"/>
        </w:rPr>
      </w:pPr>
      <w:bookmarkStart w:id="14" w:name="_Toc195004974"/>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26BCEE14"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r w:rsidR="002E4F71" w:rsidRPr="00B14C47">
        <w:rPr>
          <w:rFonts w:ascii="Arial" w:hAnsi="Arial" w:cs="Arial"/>
          <w:sz w:val="20"/>
        </w:rPr>
        <w:t>вропейския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Pr="00B14C47">
        <w:rPr>
          <w:rFonts w:ascii="Arial" w:hAnsi="Arial" w:cs="Arial"/>
          <w:bCs/>
          <w:sz w:val="20"/>
        </w:rPr>
        <w:t xml:space="preserve">. </w:t>
      </w: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6" w:name="_Toc195004975"/>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8" w:name="_Toc96871848"/>
      <w:bookmarkStart w:id="19" w:name="_Toc195004976"/>
      <w:bookmarkEnd w:id="17"/>
      <w:r w:rsidRPr="00B14C47">
        <w:rPr>
          <w:rFonts w:ascii="Arial" w:hAnsi="Arial" w:cs="Arial"/>
          <w:lang w:val="bg-BG"/>
        </w:rPr>
        <w:t>База за изготвяне</w:t>
      </w:r>
      <w:bookmarkEnd w:id="18"/>
      <w:bookmarkEnd w:id="19"/>
    </w:p>
    <w:p w14:paraId="221025B4" w14:textId="77777777" w:rsidR="005E4249" w:rsidRDefault="005E4249" w:rsidP="005E4249">
      <w:pPr>
        <w:jc w:val="right"/>
        <w:rPr>
          <w:rFonts w:ascii="Arial" w:hAnsi="Arial" w:cs="Arial"/>
          <w:sz w:val="20"/>
        </w:rPr>
      </w:pPr>
    </w:p>
    <w:p w14:paraId="1A83071F" w14:textId="18779DD4" w:rsidR="005E4249" w:rsidRDefault="005E4249" w:rsidP="005E4249">
      <w:pPr>
        <w:rPr>
          <w:rFonts w:ascii="Arial" w:hAnsi="Arial" w:cs="Arial"/>
          <w:sz w:val="20"/>
        </w:rPr>
      </w:pPr>
      <w:r>
        <w:rPr>
          <w:rFonts w:ascii="Arial" w:hAnsi="Arial" w:cs="Arial"/>
          <w:sz w:val="20"/>
        </w:rPr>
        <w:t xml:space="preserve"> </w:t>
      </w:r>
      <w:r w:rsidR="00B66DF8" w:rsidRPr="00B14C47">
        <w:rPr>
          <w:rFonts w:ascii="Arial" w:hAnsi="Arial" w:cs="Arial"/>
          <w:sz w:val="20"/>
        </w:rPr>
        <w:t xml:space="preserve">Този годишен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 Счетоводни Стандарти </w:t>
      </w:r>
      <w:r>
        <w:rPr>
          <w:rFonts w:ascii="Arial" w:hAnsi="Arial" w:cs="Arial"/>
          <w:sz w:val="20"/>
        </w:rPr>
        <w:t xml:space="preserve">    </w:t>
      </w:r>
    </w:p>
    <w:p w14:paraId="7D28BBB6" w14:textId="7491DAC7" w:rsidR="00B66DF8" w:rsidRPr="00B14C47" w:rsidRDefault="00B66DF8" w:rsidP="00B66DF8">
      <w:pPr>
        <w:rPr>
          <w:rFonts w:ascii="Arial" w:hAnsi="Arial" w:cs="Arial"/>
          <w:sz w:val="20"/>
        </w:rPr>
      </w:pPr>
      <w:r w:rsidRPr="00B14C47">
        <w:rPr>
          <w:rFonts w:ascii="Arial" w:hAnsi="Arial" w:cs="Arial"/>
          <w:sz w:val="20"/>
        </w:rPr>
        <w:lastRenderedPageBreak/>
        <w:t xml:space="preserve">(СМСС)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w:t>
      </w:r>
      <w:r w:rsidR="005B47E3">
        <w:rPr>
          <w:rFonts w:ascii="Arial" w:hAnsi="Arial" w:cs="Arial"/>
          <w:sz w:val="20"/>
        </w:rPr>
        <w:t>4</w:t>
      </w:r>
      <w:r w:rsidR="00D108F8" w:rsidRPr="00B14C47">
        <w:rPr>
          <w:rFonts w:ascii="Arial" w:hAnsi="Arial" w:cs="Arial"/>
          <w:sz w:val="20"/>
        </w:rPr>
        <w:t>г</w:t>
      </w:r>
      <w:r w:rsidRPr="00B14C47">
        <w:rPr>
          <w:rFonts w:ascii="Arial" w:hAnsi="Arial" w:cs="Arial"/>
          <w:sz w:val="20"/>
        </w:rPr>
        <w:t xml:space="preserve">. и които са приети от </w:t>
      </w:r>
      <w:r w:rsidR="008B70BF" w:rsidRPr="00B14C47">
        <w:rPr>
          <w:rFonts w:ascii="Arial" w:hAnsi="Arial" w:cs="Arial"/>
          <w:sz w:val="20"/>
          <w:lang w:val="en-US"/>
        </w:rPr>
        <w:t>E</w:t>
      </w:r>
      <w:r w:rsidRPr="00B14C47">
        <w:rPr>
          <w:rFonts w:ascii="Arial" w:hAnsi="Arial" w:cs="Arial"/>
          <w:sz w:val="20"/>
        </w:rPr>
        <w:t>вропейския съюз.</w:t>
      </w:r>
    </w:p>
    <w:p w14:paraId="1EB6364C" w14:textId="77777777" w:rsidR="00B66DF8" w:rsidRPr="00B14C47" w:rsidRDefault="000562F1" w:rsidP="00B66DF8">
      <w:pPr>
        <w:rPr>
          <w:rFonts w:ascii="Arial" w:hAnsi="Arial" w:cs="Arial"/>
          <w:sz w:val="20"/>
        </w:rPr>
      </w:pPr>
      <w:r w:rsidRPr="00B14C47">
        <w:rPr>
          <w:rFonts w:ascii="Arial" w:hAnsi="Arial" w:cs="Arial"/>
          <w:sz w:val="20"/>
        </w:rPr>
        <w:t xml:space="preserve">Индивидуалният </w:t>
      </w:r>
      <w:r w:rsidR="00B66DF8" w:rsidRPr="00B14C47">
        <w:rPr>
          <w:rFonts w:ascii="Arial" w:hAnsi="Arial" w:cs="Arial"/>
          <w:sz w:val="20"/>
        </w:rPr>
        <w:t>годишен финансов отчет включва 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Preformatted"/>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Preformatted"/>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5F2B87DB" w14:textId="71C434D2" w:rsidR="00554F66" w:rsidRPr="00554F66" w:rsidRDefault="00554F66" w:rsidP="00554F66">
      <w:pPr>
        <w:rPr>
          <w:rFonts w:ascii="Arial" w:hAnsi="Arial" w:cs="Arial"/>
          <w:sz w:val="20"/>
        </w:rPr>
      </w:pPr>
      <w:bookmarkStart w:id="20" w:name="_Toc247959129"/>
      <w:r w:rsidRPr="00554F66">
        <w:rPr>
          <w:rFonts w:ascii="Arial" w:hAnsi="Arial" w:cs="Arial"/>
          <w:sz w:val="20"/>
        </w:rPr>
        <w:t xml:space="preserve">За </w:t>
      </w:r>
      <w:r w:rsidR="009D784E">
        <w:rPr>
          <w:rFonts w:ascii="Arial" w:hAnsi="Arial" w:cs="Arial"/>
          <w:sz w:val="20"/>
        </w:rPr>
        <w:t>2024г</w:t>
      </w:r>
      <w:r w:rsidRPr="00554F66">
        <w:rPr>
          <w:rFonts w:ascii="Arial" w:hAnsi="Arial" w:cs="Arial"/>
          <w:sz w:val="20"/>
        </w:rPr>
        <w:t xml:space="preserve">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407B966" w14:textId="77777777" w:rsidR="00554F66" w:rsidRPr="00554F66" w:rsidRDefault="00554F66" w:rsidP="00554F66">
      <w:pPr>
        <w:rPr>
          <w:rFonts w:ascii="Arial" w:hAnsi="Arial" w:cs="Arial"/>
          <w:sz w:val="20"/>
        </w:rPr>
      </w:pPr>
      <w:r w:rsidRPr="00554F66">
        <w:rPr>
          <w:rFonts w:ascii="Arial" w:hAnsi="Arial" w:cs="Arial"/>
          <w:sz w:val="20"/>
        </w:rPr>
        <w:t>От възприемането на тези стандарти и/или тълкувания, в сила за годишни периоди започващи на 1 януари 2024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5760338D" w14:textId="77777777" w:rsidR="00554F66" w:rsidRPr="00554F66" w:rsidRDefault="00554F66" w:rsidP="00554F66">
      <w:pPr>
        <w:rPr>
          <w:rFonts w:ascii="Arial" w:hAnsi="Arial" w:cs="Arial"/>
          <w:sz w:val="20"/>
        </w:rPr>
      </w:pPr>
      <w:r w:rsidRPr="00554F66">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2024 година</w:t>
      </w:r>
      <w:r w:rsidRPr="00554F66">
        <w:rPr>
          <w:rFonts w:ascii="Arial" w:hAnsi="Arial" w:cs="Arial"/>
          <w:sz w:val="20"/>
        </w:rPr>
        <w:t>:</w:t>
      </w:r>
    </w:p>
    <w:p w14:paraId="20A69C97" w14:textId="77777777" w:rsidR="00554F66" w:rsidRPr="00554F66" w:rsidRDefault="00554F66" w:rsidP="00554F66">
      <w:pPr>
        <w:rPr>
          <w:rFonts w:ascii="Arial" w:hAnsi="Arial" w:cs="Arial"/>
          <w:sz w:val="20"/>
        </w:rPr>
      </w:pPr>
      <w:bookmarkStart w:id="21" w:name="_Hlk155182830"/>
      <w:r w:rsidRPr="00554F66">
        <w:rPr>
          <w:rFonts w:ascii="Arial" w:hAnsi="Arial" w:cs="Arial"/>
          <w:sz w:val="20"/>
        </w:rPr>
        <w:t xml:space="preserve">• </w:t>
      </w:r>
      <w:r w:rsidRPr="00554F66">
        <w:rPr>
          <w:rFonts w:ascii="Arial" w:hAnsi="Arial" w:cs="Arial"/>
          <w:b/>
          <w:bCs/>
          <w:sz w:val="20"/>
        </w:rPr>
        <w:t>Промени в МСС 1 Представяне на финансови отчети: Класификация на пасивите като текущи и нетекущи</w:t>
      </w:r>
      <w:r w:rsidRPr="00554F66">
        <w:rPr>
          <w:rFonts w:ascii="Arial" w:hAnsi="Arial" w:cs="Arial"/>
          <w:sz w:val="20"/>
        </w:rPr>
        <w:t>.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Измененията в МСС 1 се отнасят върху критериите за класификация на пасивите на текущи и нетекущи без да имат ефект върху размера или момента на признаването на активи, пасиви, приходи или разходи или информацията, която дружествата оповестяват за тези елементи. С промените се уточнява, че уреждането на пасивите може да се осъществи чрез прехвърляне на парични средства, капиталови инструменти, други активи или услуги на контрагента. Класификацията не се отнася за деривативите в конвертируеми пасиви, които сами по себе си са инструменти на собствения капитал.</w:t>
      </w:r>
    </w:p>
    <w:p w14:paraId="32D203B4" w14:textId="77777777" w:rsidR="00554F66" w:rsidRPr="00554F66" w:rsidRDefault="00554F66" w:rsidP="00554F66">
      <w:pPr>
        <w:rPr>
          <w:rFonts w:ascii="Arial" w:hAnsi="Arial" w:cs="Arial"/>
          <w:sz w:val="20"/>
        </w:rPr>
      </w:pPr>
      <w:r w:rsidRPr="00554F66">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w:t>
      </w:r>
    </w:p>
    <w:p w14:paraId="3DE4E8BB" w14:textId="77777777" w:rsidR="00554F66" w:rsidRPr="00554F66" w:rsidRDefault="00554F66" w:rsidP="00554F66">
      <w:pPr>
        <w:rPr>
          <w:rFonts w:ascii="Arial" w:hAnsi="Arial" w:cs="Arial"/>
          <w:b/>
          <w:bCs/>
          <w:sz w:val="20"/>
        </w:rPr>
      </w:pPr>
      <w:r w:rsidRPr="00554F66">
        <w:rPr>
          <w:rFonts w:ascii="Arial" w:hAnsi="Arial" w:cs="Arial"/>
          <w:b/>
          <w:bCs/>
          <w:sz w:val="20"/>
        </w:rPr>
        <w:lastRenderedPageBreak/>
        <w:t>• Изменения на МСС 7 и МСФО 7 Споразумения за финансиране на доставчици:</w:t>
      </w:r>
    </w:p>
    <w:p w14:paraId="3FF9F3F0" w14:textId="77777777" w:rsidR="00554F66" w:rsidRDefault="00554F66" w:rsidP="00554F66">
      <w:pPr>
        <w:rPr>
          <w:rFonts w:ascii="Arial" w:hAnsi="Arial" w:cs="Arial"/>
          <w:sz w:val="20"/>
        </w:rPr>
      </w:pPr>
      <w:r w:rsidRPr="00554F66">
        <w:rPr>
          <w:rFonts w:ascii="Arial" w:hAnsi="Arial" w:cs="Arial"/>
          <w:sz w:val="20"/>
        </w:rPr>
        <w:t>Измененията на МСС 7 и МСФО 7 добавят изисквания за оповестяване, както и насоки   в рамките на съществуващите изисквания за оповестяване, които изискват от предприятията да предоставят качествена и количествена информация за споразуменията за финансиране на доставчици.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 Тези изменения добавят две цели за оповестяване в пояснителните приложения – оповестяване на данни, които позволяват на ползвателите на финансовите отчети да оценят как споразуменията за финансиране от доставчици влияят върху пасивите и паричните потоци на дружеството и да разберат ефекта на споразуменията за финансиране от доставчици върху изложеността на дружеството на ликвиден риск и как дружеството може да бъде засегнато, ако споразуменията вече не са достъпни за него. Промените се прилагат ретроспективно, като има облекчения относно неоповестяване на информация за периоди преди началната дата на периода, в който промените се прилагат за първи път, както и относно някои количествени оповестявания</w:t>
      </w:r>
      <w:r>
        <w:rPr>
          <w:rFonts w:ascii="Arial" w:hAnsi="Arial" w:cs="Arial"/>
          <w:sz w:val="20"/>
        </w:rPr>
        <w:t>,</w:t>
      </w:r>
    </w:p>
    <w:p w14:paraId="2AC4727D" w14:textId="77777777" w:rsidR="00554F66" w:rsidRPr="00554F66" w:rsidRDefault="00554F66" w:rsidP="00554F66">
      <w:pPr>
        <w:rPr>
          <w:rFonts w:ascii="Arial" w:hAnsi="Arial" w:cs="Arial"/>
          <w:sz w:val="20"/>
        </w:rPr>
      </w:pPr>
      <w:r w:rsidRPr="00554F66">
        <w:rPr>
          <w:rFonts w:ascii="Arial" w:hAnsi="Arial" w:cs="Arial"/>
          <w:sz w:val="20"/>
        </w:rPr>
        <w:t>отнасящите за началната дата на периода на първоначално прилагане.</w:t>
      </w:r>
    </w:p>
    <w:p w14:paraId="4D68E792" w14:textId="77777777" w:rsidR="00554F66" w:rsidRPr="00554F66" w:rsidRDefault="00554F66" w:rsidP="00554F66">
      <w:pPr>
        <w:rPr>
          <w:rFonts w:ascii="Arial" w:hAnsi="Arial" w:cs="Arial"/>
          <w:sz w:val="20"/>
        </w:rPr>
      </w:pPr>
      <w:bookmarkStart w:id="22" w:name="_Hlk155168846"/>
      <w:r w:rsidRPr="00554F66">
        <w:rPr>
          <w:rFonts w:ascii="Arial" w:hAnsi="Arial" w:cs="Arial"/>
          <w:sz w:val="20"/>
        </w:rPr>
        <w:t xml:space="preserve">• </w:t>
      </w:r>
      <w:r w:rsidRPr="00554F66">
        <w:rPr>
          <w:rFonts w:ascii="Arial" w:hAnsi="Arial" w:cs="Arial"/>
          <w:b/>
          <w:bCs/>
          <w:sz w:val="20"/>
        </w:rPr>
        <w:t>Изменения на МСФО 16 Лизинг:</w:t>
      </w:r>
      <w:r w:rsidRPr="00554F66">
        <w:rPr>
          <w:rFonts w:ascii="Arial" w:hAnsi="Arial" w:cs="Arial"/>
          <w:sz w:val="20"/>
        </w:rPr>
        <w:t xml:space="preserve"> Задължение по лизинг при продажба и обратен лизинг.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 Промените се прилагат ретроспективно.</w:t>
      </w:r>
    </w:p>
    <w:p w14:paraId="4C88B4CA" w14:textId="77777777" w:rsidR="00554F66" w:rsidRPr="00554F66" w:rsidRDefault="00554F66" w:rsidP="00554F66">
      <w:pPr>
        <w:rPr>
          <w:rFonts w:ascii="Arial" w:hAnsi="Arial" w:cs="Arial"/>
          <w:sz w:val="20"/>
        </w:rPr>
      </w:pPr>
    </w:p>
    <w:bookmarkEnd w:id="21"/>
    <w:bookmarkEnd w:id="22"/>
    <w:p w14:paraId="338C80AD" w14:textId="77777777" w:rsidR="00554F66" w:rsidRPr="00554F66" w:rsidRDefault="00554F66" w:rsidP="00554F66">
      <w:pPr>
        <w:rPr>
          <w:rFonts w:ascii="Arial" w:hAnsi="Arial" w:cs="Arial"/>
          <w:b/>
          <w:bCs/>
          <w:sz w:val="20"/>
        </w:rPr>
      </w:pPr>
      <w:r w:rsidRPr="00554F66">
        <w:rPr>
          <w:rFonts w:ascii="Arial" w:hAnsi="Arial" w:cs="Arial"/>
          <w:b/>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2024г. или не са одобрени за прилагане от ЕС и съответно не са взети предвид при изготвянето на настоящия финансов отчет:</w:t>
      </w:r>
    </w:p>
    <w:p w14:paraId="303137C7" w14:textId="77777777" w:rsidR="00554F66" w:rsidRPr="00554F66" w:rsidRDefault="00554F66" w:rsidP="00554F66">
      <w:pPr>
        <w:rPr>
          <w:rFonts w:ascii="Arial" w:hAnsi="Arial" w:cs="Arial"/>
          <w:sz w:val="20"/>
        </w:rPr>
      </w:pPr>
    </w:p>
    <w:p w14:paraId="6B359958" w14:textId="77777777" w:rsidR="00554F66" w:rsidRPr="00554F66" w:rsidRDefault="00554F66" w:rsidP="00554F66">
      <w:pPr>
        <w:rPr>
          <w:rFonts w:ascii="Arial" w:hAnsi="Arial" w:cs="Arial"/>
          <w:sz w:val="20"/>
        </w:rPr>
      </w:pPr>
      <w:r w:rsidRPr="00554F66">
        <w:rPr>
          <w:rFonts w:ascii="Arial" w:hAnsi="Arial" w:cs="Arial"/>
          <w:sz w:val="20"/>
        </w:rPr>
        <w:t>•</w:t>
      </w:r>
      <w:r w:rsidRPr="00554F66">
        <w:rPr>
          <w:rFonts w:ascii="Arial" w:hAnsi="Arial" w:cs="Arial"/>
          <w:b/>
          <w:bCs/>
          <w:sz w:val="20"/>
        </w:rPr>
        <w:t>Промени в Промени в МСС 21 Ефекти от промените в обменните курсове: липса на обменни курсове</w:t>
      </w:r>
      <w:r w:rsidRPr="00554F66">
        <w:rPr>
          <w:rFonts w:ascii="Arial" w:hAnsi="Arial" w:cs="Arial"/>
          <w:sz w:val="20"/>
        </w:rPr>
        <w:t xml:space="preserve"> (в сила за годишни периоди от 01.01.2025 г., приети от ЕК). Тези промени уточняват и изискват от предприятията да прилагат последователен подход при определяне на: а) кога дадена валута може да се обмени в друга и кога не, както въвеждат определения за това. Една валута може да се обмени в друга, когато предприятието може да придобие другата валута в нормални времеви граници, включващи нормални административни закъснения и   пазарен механизъм, който позволява сделката по обмяна на валутата да доведе до изпълними права и задължения. Ако предприятието може да получи само незначителна част от другата валута на датата на оценката за определената цел, то се счита, че валутата не може да бъде обменена в другата валута ; б) какъв обменен курс да се прилага, когато една валута не може да бъде обменена в друга, като посочват два механизма: първият е използването на наблюдаем обменен курс - без допълнителни корекции, наблюдаем курс за друга цел и първия обменен курс, по който обмяната може да бъде направена; вторият е чрез използването на друга техника на оценка; в) информацията, която предприятието следва да оповести, когато една валута не може да се обмени в друга, за да позволи на потребителите на неговите финансови отчети да разберат как това влияе върху финансовите резултати, финансовото състояние и парични потоци на предприятието. Промените се прилагат ретроспективно. По-ранно прилагане е разрешено.</w:t>
      </w:r>
    </w:p>
    <w:p w14:paraId="0248ACD3" w14:textId="77777777" w:rsidR="00554F66" w:rsidRPr="00554F66" w:rsidRDefault="00554F66" w:rsidP="00554F66">
      <w:pPr>
        <w:rPr>
          <w:rFonts w:ascii="Arial" w:hAnsi="Arial" w:cs="Arial"/>
          <w:sz w:val="20"/>
        </w:rPr>
      </w:pPr>
    </w:p>
    <w:p w14:paraId="391AC4D6" w14:textId="77777777" w:rsidR="00554F66" w:rsidRPr="00554F66" w:rsidRDefault="00554F66" w:rsidP="00554F66">
      <w:pPr>
        <w:rPr>
          <w:rFonts w:ascii="Arial" w:hAnsi="Arial" w:cs="Arial"/>
          <w:sz w:val="20"/>
        </w:rPr>
      </w:pPr>
      <w:r w:rsidRPr="00554F66">
        <w:rPr>
          <w:rFonts w:ascii="Arial" w:hAnsi="Arial" w:cs="Arial"/>
          <w:sz w:val="20"/>
        </w:rPr>
        <w:t xml:space="preserve">• </w:t>
      </w:r>
      <w:r w:rsidRPr="00554F66">
        <w:rPr>
          <w:rFonts w:ascii="Arial" w:hAnsi="Arial" w:cs="Arial"/>
          <w:b/>
          <w:bCs/>
          <w:sz w:val="20"/>
        </w:rPr>
        <w:t>Изменения в МСФО 10  „Консолидирани финансови отчети“ и МСС 28 „Инвестиции в асоциирани и съвместни предприятия“</w:t>
      </w:r>
      <w:r w:rsidRPr="00554F66">
        <w:rPr>
          <w:rFonts w:ascii="Arial" w:hAnsi="Arial" w:cs="Arial"/>
          <w:sz w:val="20"/>
        </w:rPr>
        <w:t xml:space="preserve">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w:t>
      </w:r>
      <w:r w:rsidRPr="00554F66">
        <w:rPr>
          <w:rFonts w:ascii="Arial" w:hAnsi="Arial" w:cs="Arial"/>
          <w:sz w:val="20"/>
        </w:rPr>
        <w:lastRenderedPageBreak/>
        <w:t>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2FE29B3" w14:textId="77777777" w:rsidR="00554F66" w:rsidRPr="00554F66" w:rsidRDefault="00554F66" w:rsidP="00554F66">
      <w:pPr>
        <w:rPr>
          <w:rFonts w:ascii="Arial" w:hAnsi="Arial" w:cs="Arial"/>
          <w:sz w:val="20"/>
        </w:rPr>
      </w:pPr>
    </w:p>
    <w:p w14:paraId="7B928E57" w14:textId="77777777" w:rsidR="00554F66" w:rsidRPr="00554F66" w:rsidRDefault="00554F66" w:rsidP="00554F66">
      <w:pPr>
        <w:rPr>
          <w:rFonts w:ascii="Arial" w:hAnsi="Arial" w:cs="Arial"/>
          <w:sz w:val="20"/>
        </w:rPr>
      </w:pPr>
      <w:r w:rsidRPr="00554F66">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406BA966" w14:textId="77777777" w:rsidR="00554F66" w:rsidRPr="00554F66" w:rsidRDefault="00554F66" w:rsidP="00554F66">
      <w:pPr>
        <w:rPr>
          <w:rFonts w:ascii="Arial" w:hAnsi="Arial" w:cs="Arial"/>
          <w:sz w:val="20"/>
        </w:rPr>
      </w:pP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3" w:name="_Toc483986875"/>
      <w:bookmarkStart w:id="24" w:name="_Toc96871849"/>
      <w:bookmarkStart w:id="25" w:name="_Toc195004977"/>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3"/>
      <w:bookmarkEnd w:id="24"/>
      <w:bookmarkEnd w:id="25"/>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26" w:name="_Toc96871850"/>
      <w:bookmarkStart w:id="27" w:name="_Toc195004978"/>
      <w:r w:rsidRPr="00B14C47">
        <w:rPr>
          <w:rFonts w:ascii="Arial" w:hAnsi="Arial" w:cs="Arial"/>
          <w:lang w:val="bg-BG"/>
        </w:rPr>
        <w:t>Минимална сравнителна информация</w:t>
      </w:r>
      <w:bookmarkEnd w:id="26"/>
      <w:bookmarkEnd w:id="27"/>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8" w:name="p12441973"/>
      <w:bookmarkEnd w:id="28"/>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9"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29"/>
    <w:p w14:paraId="18AB3F95" w14:textId="77777777" w:rsidR="00B66DF8" w:rsidRPr="00B14C47" w:rsidRDefault="00B66DF8" w:rsidP="00B66DF8">
      <w:pPr>
        <w:rPr>
          <w:rFonts w:ascii="Arial" w:hAnsi="Arial" w:cs="Arial"/>
          <w:sz w:val="20"/>
        </w:rPr>
      </w:pPr>
    </w:p>
    <w:p w14:paraId="7CB303B4" w14:textId="4D0A5A7B" w:rsidR="00B66DF8" w:rsidRPr="00B14C47" w:rsidRDefault="00B66DF8" w:rsidP="00B66DF8">
      <w:pPr>
        <w:pStyle w:val="Heading3"/>
        <w:spacing w:before="0"/>
        <w:rPr>
          <w:rFonts w:ascii="Arial" w:hAnsi="Arial" w:cs="Arial"/>
          <w:lang w:val="bg-BG"/>
        </w:rPr>
      </w:pPr>
      <w:bookmarkStart w:id="30" w:name="_Toc96871851"/>
      <w:bookmarkStart w:id="31" w:name="_Toc195004979"/>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357879">
        <w:rPr>
          <w:rFonts w:ascii="Arial" w:hAnsi="Arial" w:cs="Arial"/>
          <w:lang w:val="bg-BG"/>
        </w:rPr>
        <w:t>5</w:t>
      </w:r>
      <w:r w:rsidR="00856239" w:rsidRPr="00B14C47">
        <w:rPr>
          <w:rFonts w:ascii="Arial" w:hAnsi="Arial" w:cs="Arial"/>
          <w:lang w:val="bg-BG"/>
        </w:rPr>
        <w:t>г</w:t>
      </w:r>
      <w:r w:rsidRPr="00B14C47">
        <w:rPr>
          <w:rFonts w:ascii="Arial" w:hAnsi="Arial" w:cs="Arial"/>
          <w:lang w:val="bg-BG"/>
        </w:rPr>
        <w:t>.</w:t>
      </w:r>
      <w:bookmarkEnd w:id="30"/>
      <w:bookmarkEnd w:id="31"/>
    </w:p>
    <w:p w14:paraId="7AA202A7" w14:textId="64E59423"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357879">
        <w:rPr>
          <w:rFonts w:ascii="Arial" w:hAnsi="Arial" w:cs="Arial"/>
          <w:sz w:val="20"/>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2" w:name="_Toc96871852"/>
      <w:bookmarkStart w:id="33" w:name="_Toc195004980"/>
      <w:bookmarkStart w:id="34" w:name="_Hlk512172492"/>
      <w:r w:rsidRPr="00B14C47">
        <w:rPr>
          <w:rFonts w:ascii="Arial" w:hAnsi="Arial" w:cs="Arial"/>
          <w:lang w:val="bg-BG"/>
        </w:rPr>
        <w:t>Бази за оценяване, използвани при изготвянето на финансовите отчети</w:t>
      </w:r>
      <w:bookmarkEnd w:id="32"/>
      <w:bookmarkEnd w:id="33"/>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lastRenderedPageBreak/>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35" w:name="_Toc96871853"/>
      <w:bookmarkStart w:id="36" w:name="_Toc195004981"/>
      <w:r w:rsidRPr="00B14C47">
        <w:rPr>
          <w:rFonts w:ascii="Arial" w:hAnsi="Arial" w:cs="Arial"/>
          <w:lang w:val="bg-BG"/>
        </w:rPr>
        <w:t>Критични счетоводни преценки</w:t>
      </w:r>
      <w:bookmarkEnd w:id="35"/>
      <w:bookmarkEnd w:id="36"/>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4"/>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Heading3"/>
        <w:spacing w:before="0"/>
        <w:rPr>
          <w:rFonts w:ascii="Arial" w:hAnsi="Arial" w:cs="Arial"/>
          <w:lang w:val="bg-BG"/>
        </w:rPr>
      </w:pPr>
      <w:bookmarkStart w:id="37" w:name="_Toc96871854"/>
      <w:bookmarkStart w:id="38" w:name="_Toc195004982"/>
      <w:r w:rsidRPr="00B14C47">
        <w:rPr>
          <w:rFonts w:ascii="Arial" w:hAnsi="Arial" w:cs="Arial"/>
          <w:lang w:val="bg-BG"/>
        </w:rPr>
        <w:t>Оповестявания за комплекта финансови отчети</w:t>
      </w:r>
      <w:bookmarkEnd w:id="37"/>
      <w:bookmarkEnd w:id="38"/>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39" w:name="_Toc96871855"/>
      <w:bookmarkStart w:id="40" w:name="_Toc195004983"/>
      <w:r w:rsidRPr="00B14C47">
        <w:rPr>
          <w:rFonts w:ascii="Arial" w:hAnsi="Arial" w:cs="Arial"/>
          <w:lang w:val="bg-BG"/>
        </w:rPr>
        <w:t>Допустимо алтернативно третиране</w:t>
      </w:r>
      <w:bookmarkEnd w:id="39"/>
      <w:bookmarkEnd w:id="40"/>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w:t>
      </w:r>
      <w:r w:rsidRPr="00B14C47">
        <w:rPr>
          <w:rFonts w:ascii="Arial" w:hAnsi="Arial" w:cs="Arial"/>
          <w:sz w:val="20"/>
        </w:rPr>
        <w:lastRenderedPageBreak/>
        <w:t xml:space="preserve">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1" w:name="_Toc96871856"/>
      <w:bookmarkStart w:id="42" w:name="_Toc195004984"/>
      <w:r w:rsidRPr="00B14C47">
        <w:rPr>
          <w:rFonts w:ascii="Arial" w:hAnsi="Arial" w:cs="Arial"/>
          <w:lang w:val="bg-BG"/>
        </w:rPr>
        <w:t>Финансов обзор от ръководството</w:t>
      </w:r>
      <w:bookmarkEnd w:id="41"/>
      <w:bookmarkEnd w:id="42"/>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3" w:name="_Toc195004985"/>
      <w:r w:rsidRPr="00B14C47">
        <w:rPr>
          <w:rFonts w:ascii="Arial" w:hAnsi="Arial" w:cs="Arial"/>
          <w:i/>
          <w:sz w:val="20"/>
          <w:szCs w:val="20"/>
          <w:lang w:val="bg-BG"/>
        </w:rPr>
        <w:t>ПРИЗНАВАНЕ НА ПРИХОД</w:t>
      </w:r>
      <w:bookmarkEnd w:id="43"/>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4" w:name="_Toc195004986"/>
      <w:r w:rsidRPr="00B14C47">
        <w:rPr>
          <w:rFonts w:ascii="Arial" w:hAnsi="Arial" w:cs="Arial"/>
          <w:i/>
          <w:sz w:val="20"/>
          <w:szCs w:val="20"/>
          <w:lang w:val="bg-BG"/>
        </w:rPr>
        <w:t>РАЗХОДИ</w:t>
      </w:r>
      <w:bookmarkEnd w:id="44"/>
    </w:p>
    <w:p w14:paraId="605A3C28" w14:textId="77777777" w:rsidR="001902B5" w:rsidRPr="00B14C47" w:rsidRDefault="001902B5" w:rsidP="001902B5">
      <w:pPr>
        <w:rPr>
          <w:rFonts w:ascii="Arial" w:hAnsi="Arial" w:cs="Arial"/>
          <w:spacing w:val="-1"/>
          <w:sz w:val="20"/>
        </w:rPr>
      </w:pPr>
      <w:bookmarkStart w:id="45" w:name="_Toc156995270"/>
      <w:bookmarkStart w:id="46"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lastRenderedPageBreak/>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5"/>
    <w:bookmarkEnd w:id="46"/>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Heading2"/>
        <w:spacing w:before="0"/>
        <w:rPr>
          <w:rFonts w:ascii="Arial" w:hAnsi="Arial" w:cs="Arial"/>
          <w:i/>
          <w:sz w:val="22"/>
          <w:szCs w:val="22"/>
        </w:rPr>
      </w:pPr>
      <w:bookmarkStart w:id="47" w:name="_Toc473124927"/>
      <w:bookmarkStart w:id="48" w:name="_Toc195004987"/>
      <w:r w:rsidRPr="00B14C47">
        <w:rPr>
          <w:rFonts w:ascii="Arial" w:hAnsi="Arial" w:cs="Arial"/>
          <w:i/>
          <w:sz w:val="22"/>
          <w:szCs w:val="22"/>
        </w:rPr>
        <w:t>ПЕЧАЛБИ ИЛИ ЗАГУБИ ЗА ПЕРИОДА</w:t>
      </w:r>
      <w:bookmarkEnd w:id="47"/>
      <w:bookmarkEnd w:id="48"/>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49" w:name="_Toc195004988"/>
      <w:r w:rsidRPr="00B14C47">
        <w:rPr>
          <w:rFonts w:ascii="Arial" w:hAnsi="Arial" w:cs="Arial"/>
          <w:b/>
          <w:bCs/>
          <w:iCs/>
          <w:color w:val="4F81BD"/>
          <w:sz w:val="20"/>
        </w:rPr>
        <w:t>Инвестиции в дъщерни предприятия</w:t>
      </w:r>
      <w:bookmarkEnd w:id="49"/>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0" w:name="_Toc195004989"/>
      <w:r w:rsidRPr="00B14C47">
        <w:rPr>
          <w:rFonts w:ascii="Arial" w:hAnsi="Arial" w:cs="Arial"/>
          <w:lang w:val="bg-BG"/>
        </w:rPr>
        <w:t>Финансови инструменти</w:t>
      </w:r>
      <w:bookmarkEnd w:id="50"/>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1" w:name="_Toc530821668"/>
      <w:bookmarkStart w:id="52"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BodyText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BodyText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3" w:name="_Toc4428434"/>
      <w:bookmarkEnd w:id="51"/>
      <w:bookmarkEnd w:id="52"/>
    </w:p>
    <w:p w14:paraId="3C98E3CD" w14:textId="77777777" w:rsidR="00CF65DB" w:rsidRPr="00B14C47" w:rsidRDefault="00CF65DB" w:rsidP="00BE533E">
      <w:pPr>
        <w:pStyle w:val="Heading3"/>
        <w:spacing w:before="0"/>
        <w:rPr>
          <w:rFonts w:ascii="Arial" w:hAnsi="Arial" w:cs="Arial"/>
          <w:lang w:val="bg-BG"/>
        </w:rPr>
      </w:pPr>
      <w:bookmarkStart w:id="54" w:name="_Toc195004990"/>
      <w:r w:rsidRPr="00B14C47">
        <w:rPr>
          <w:rFonts w:ascii="Arial" w:hAnsi="Arial" w:cs="Arial"/>
          <w:color w:val="4472C4" w:themeColor="accent1"/>
          <w:lang w:val="bg-BG"/>
        </w:rPr>
        <w:t>Последваща оценка на финансови активи</w:t>
      </w:r>
      <w:bookmarkEnd w:id="53"/>
      <w:bookmarkEnd w:id="54"/>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lastRenderedPageBreak/>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Heading3"/>
        <w:spacing w:before="0"/>
        <w:rPr>
          <w:rFonts w:ascii="Arial" w:hAnsi="Arial" w:cs="Arial"/>
          <w:lang w:val="bg-BG"/>
        </w:rPr>
      </w:pPr>
      <w:bookmarkStart w:id="55" w:name="_Toc195004991"/>
      <w:r w:rsidRPr="00B14C47">
        <w:rPr>
          <w:rFonts w:ascii="Arial" w:hAnsi="Arial" w:cs="Arial"/>
          <w:lang w:val="bg-BG"/>
        </w:rPr>
        <w:t>Обезценка на финансови активи</w:t>
      </w:r>
      <w:bookmarkEnd w:id="55"/>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56" w:name="_Toc195004992"/>
      <w:r w:rsidRPr="00B14C47">
        <w:rPr>
          <w:rFonts w:ascii="Arial" w:hAnsi="Arial" w:cs="Arial"/>
          <w:lang w:val="bg-BG"/>
        </w:rPr>
        <w:t>Отписване на финансови активи</w:t>
      </w:r>
      <w:bookmarkEnd w:id="56"/>
      <w:r w:rsidRPr="00B14C47">
        <w:rPr>
          <w:rFonts w:ascii="Arial" w:hAnsi="Arial" w:cs="Arial"/>
          <w:lang w:val="bg-BG"/>
        </w:rPr>
        <w:t xml:space="preserve"> </w:t>
      </w:r>
    </w:p>
    <w:p w14:paraId="3CB20806" w14:textId="77777777" w:rsidR="00E76218" w:rsidRPr="00802B5D" w:rsidRDefault="00E76218" w:rsidP="00090D9E">
      <w:pPr>
        <w:pStyle w:val="BodyText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CommentReference"/>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7" w:name="_Toc473124947"/>
      <w:bookmarkStart w:id="58" w:name="_Toc195004993"/>
      <w:r w:rsidRPr="00B14C47">
        <w:rPr>
          <w:rFonts w:ascii="Arial" w:hAnsi="Arial" w:cs="Arial"/>
          <w:b/>
          <w:bCs/>
          <w:color w:val="4F81BD"/>
          <w:sz w:val="20"/>
          <w:szCs w:val="22"/>
          <w:lang w:val="en-US"/>
        </w:rPr>
        <w:lastRenderedPageBreak/>
        <w:t>Последваща оценка на финансови пасиви</w:t>
      </w:r>
      <w:bookmarkEnd w:id="57"/>
      <w:bookmarkEnd w:id="58"/>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652D6980"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3</w:t>
      </w:r>
      <w:r w:rsidR="007A3C00">
        <w:rPr>
          <w:rFonts w:ascii="Arial" w:hAnsi="Arial" w:cs="Arial"/>
          <w:sz w:val="20"/>
        </w:rPr>
        <w:t>1</w:t>
      </w:r>
      <w:r w:rsidR="0070202B" w:rsidRPr="00B14C47">
        <w:rPr>
          <w:rFonts w:ascii="Arial" w:hAnsi="Arial" w:cs="Arial"/>
          <w:sz w:val="20"/>
        </w:rPr>
        <w:t xml:space="preserve"> </w:t>
      </w:r>
      <w:r w:rsidR="007A3C00">
        <w:rPr>
          <w:rFonts w:ascii="Arial" w:hAnsi="Arial" w:cs="Arial"/>
          <w:sz w:val="20"/>
        </w:rPr>
        <w:t>декември</w:t>
      </w:r>
      <w:r w:rsidR="0070202B" w:rsidRPr="00B14C47">
        <w:rPr>
          <w:rFonts w:ascii="Arial" w:hAnsi="Arial" w:cs="Arial"/>
          <w:sz w:val="20"/>
        </w:rPr>
        <w:t xml:space="preserve"> </w:t>
      </w:r>
      <w:r w:rsidR="00D108F8" w:rsidRPr="00B14C47">
        <w:rPr>
          <w:rFonts w:ascii="Arial" w:hAnsi="Arial" w:cs="Arial"/>
          <w:sz w:val="20"/>
        </w:rPr>
        <w:t>202</w:t>
      </w:r>
      <w:r w:rsidR="00357879">
        <w:rPr>
          <w:rFonts w:ascii="Arial" w:hAnsi="Arial" w:cs="Arial"/>
          <w:sz w:val="20"/>
        </w:rPr>
        <w:t>5г</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357879">
        <w:rPr>
          <w:rFonts w:ascii="Arial" w:hAnsi="Arial" w:cs="Arial"/>
          <w:sz w:val="20"/>
          <w:szCs w:val="22"/>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59" w:name="_Toc195004994"/>
      <w:r w:rsidRPr="00B14C47">
        <w:rPr>
          <w:rFonts w:ascii="Arial" w:hAnsi="Arial" w:cs="Arial"/>
          <w:b/>
          <w:bCs/>
          <w:color w:val="4F81BD"/>
          <w:sz w:val="20"/>
          <w:szCs w:val="22"/>
          <w:lang w:val="en-US"/>
        </w:rPr>
        <w:t>Отписване на финансови пасиви</w:t>
      </w:r>
      <w:bookmarkEnd w:id="59"/>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0"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1" w:name="_Toc195004995"/>
      <w:r w:rsidRPr="00B14C47">
        <w:rPr>
          <w:rFonts w:ascii="Arial" w:hAnsi="Arial" w:cs="Arial"/>
          <w:b/>
          <w:bCs/>
          <w:color w:val="4F81BD"/>
          <w:sz w:val="20"/>
          <w:szCs w:val="22"/>
          <w:lang w:val="en-US"/>
        </w:rPr>
        <w:t>Лихвени кредити и заеми</w:t>
      </w:r>
      <w:bookmarkEnd w:id="60"/>
      <w:bookmarkEnd w:id="61"/>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2" w:name="_Toc4683380"/>
      <w:bookmarkStart w:id="63" w:name="_Toc4685274"/>
      <w:bookmarkStart w:id="64" w:name="_Toc4692169"/>
      <w:bookmarkStart w:id="65" w:name="_Toc62484327"/>
      <w:bookmarkStart w:id="66" w:name="_Toc67568142"/>
      <w:bookmarkStart w:id="67" w:name="_Toc96871868"/>
      <w:bookmarkStart w:id="68" w:name="_Toc129350861"/>
      <w:bookmarkStart w:id="69" w:name="_Toc160806705"/>
      <w:bookmarkStart w:id="70" w:name="_Toc195003872"/>
      <w:bookmarkStart w:id="71" w:name="_Toc195004996"/>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2"/>
      <w:bookmarkEnd w:id="63"/>
      <w:bookmarkEnd w:id="64"/>
      <w:bookmarkEnd w:id="65"/>
      <w:bookmarkEnd w:id="66"/>
      <w:bookmarkEnd w:id="67"/>
      <w:bookmarkEnd w:id="68"/>
      <w:bookmarkEnd w:id="69"/>
      <w:bookmarkEnd w:id="70"/>
      <w:bookmarkEnd w:id="71"/>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2" w:name="_Toc195004997"/>
      <w:r w:rsidRPr="00B14C47">
        <w:rPr>
          <w:rFonts w:ascii="Arial" w:hAnsi="Arial" w:cs="Arial"/>
          <w:lang w:val="bg-BG"/>
        </w:rPr>
        <w:t>Лихви, дивиденти, загуби и печалби</w:t>
      </w:r>
      <w:bookmarkEnd w:id="72"/>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3" w:name="p9626264"/>
      <w:bookmarkEnd w:id="73"/>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w:t>
      </w:r>
      <w:r w:rsidRPr="00B14C47">
        <w:rPr>
          <w:rFonts w:ascii="Arial" w:hAnsi="Arial" w:cs="Arial"/>
          <w:sz w:val="20"/>
          <w:lang w:eastAsia="bg-BG"/>
        </w:rPr>
        <w:lastRenderedPageBreak/>
        <w:t>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4" w:name="_Toc195004998"/>
      <w:r w:rsidRPr="00B14C47">
        <w:rPr>
          <w:rFonts w:ascii="Arial" w:hAnsi="Arial" w:cs="Arial"/>
          <w:lang w:val="bg-BG"/>
        </w:rPr>
        <w:t>Компенсиране на финансов актив и финансов пасив</w:t>
      </w:r>
      <w:bookmarkEnd w:id="74"/>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5" w:name="_Toc473124956"/>
      <w:bookmarkStart w:id="76" w:name="_Toc195004999"/>
      <w:r w:rsidRPr="00B14C47">
        <w:rPr>
          <w:rFonts w:ascii="Arial" w:hAnsi="Arial" w:cs="Arial"/>
          <w:szCs w:val="22"/>
        </w:rPr>
        <w:t>Пари и парични еквиваленти</w:t>
      </w:r>
      <w:bookmarkEnd w:id="75"/>
      <w:bookmarkEnd w:id="76"/>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Heading3"/>
        <w:spacing w:before="0"/>
        <w:rPr>
          <w:rFonts w:ascii="Arial" w:hAnsi="Arial" w:cs="Arial"/>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77" w:name="_Toc195005000"/>
      <w:r w:rsidRPr="00B14C47">
        <w:rPr>
          <w:rFonts w:ascii="Arial" w:hAnsi="Arial" w:cs="Arial"/>
          <w:i/>
          <w:sz w:val="20"/>
          <w:szCs w:val="20"/>
          <w:lang w:val="bg-BG"/>
        </w:rPr>
        <w:t>РАЗХОДИ ПО ЗАЕМИ</w:t>
      </w:r>
      <w:bookmarkEnd w:id="77"/>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78" w:name="_Toc195005001"/>
      <w:r w:rsidRPr="00B14C47">
        <w:rPr>
          <w:rFonts w:ascii="Arial" w:hAnsi="Arial" w:cs="Arial"/>
          <w:i/>
          <w:sz w:val="20"/>
          <w:szCs w:val="20"/>
          <w:lang w:val="bg-BG"/>
        </w:rPr>
        <w:t>СДЕЛКИ В ЧУЖДЕСТРАННА ВАЛУТА</w:t>
      </w:r>
      <w:bookmarkEnd w:id="78"/>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79" w:name="_Toc195005002"/>
      <w:r w:rsidRPr="00B14C47">
        <w:rPr>
          <w:rFonts w:ascii="Arial" w:hAnsi="Arial" w:cs="Arial"/>
          <w:i/>
          <w:sz w:val="20"/>
          <w:szCs w:val="20"/>
          <w:lang w:val="bg-BG"/>
        </w:rPr>
        <w:lastRenderedPageBreak/>
        <w:t>ПЕНСИОННИ И ДРУГИ ЗАДЪЛЖЕНИЯ КЪМ ПЕРСОНАЛА ПО СОЦИАЛНОТО И ТРУДОВО ЗАКОНОДАТЕЛСТВО</w:t>
      </w:r>
      <w:bookmarkEnd w:id="79"/>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C4EA2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9D784E">
        <w:rPr>
          <w:rFonts w:ascii="Arial" w:hAnsi="Arial" w:cs="Arial"/>
          <w:sz w:val="20"/>
        </w:rPr>
        <w:t>5</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17588941"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554F66">
        <w:rPr>
          <w:rFonts w:ascii="Arial" w:hAnsi="Arial" w:cs="Arial"/>
          <w:sz w:val="20"/>
        </w:rPr>
        <w:t>5</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554F66">
        <w:rPr>
          <w:rFonts w:ascii="Arial" w:hAnsi="Arial" w:cs="Arial"/>
          <w:sz w:val="20"/>
        </w:rPr>
        <w:t>5</w:t>
      </w:r>
      <w:r w:rsidR="00F24A1B">
        <w:rPr>
          <w:rFonts w:ascii="Arial" w:hAnsi="Arial" w:cs="Arial"/>
          <w:sz w:val="20"/>
        </w:rPr>
        <w:t xml:space="preserve">г. се увеличават МРЗ от </w:t>
      </w:r>
      <w:r w:rsidR="00554F66">
        <w:rPr>
          <w:rFonts w:ascii="Arial" w:hAnsi="Arial" w:cs="Arial"/>
          <w:sz w:val="20"/>
        </w:rPr>
        <w:t>933</w:t>
      </w:r>
      <w:r w:rsidR="00F24A1B">
        <w:rPr>
          <w:rFonts w:ascii="Arial" w:hAnsi="Arial" w:cs="Arial"/>
          <w:sz w:val="20"/>
        </w:rPr>
        <w:t xml:space="preserve"> лв. на </w:t>
      </w:r>
      <w:r w:rsidR="002E4F71">
        <w:rPr>
          <w:rFonts w:ascii="Arial" w:hAnsi="Arial" w:cs="Arial"/>
          <w:sz w:val="20"/>
        </w:rPr>
        <w:t xml:space="preserve">1077 </w:t>
      </w:r>
      <w:r w:rsidR="00F24A1B">
        <w:rPr>
          <w:rFonts w:ascii="Arial" w:hAnsi="Arial" w:cs="Arial"/>
          <w:sz w:val="20"/>
        </w:rPr>
        <w:t>лв.</w:t>
      </w:r>
      <w:r w:rsidR="00802B5D">
        <w:rPr>
          <w:rFonts w:ascii="Arial" w:hAnsi="Arial" w:cs="Arial"/>
          <w:sz w:val="20"/>
        </w:rPr>
        <w:t>, а от 01.0</w:t>
      </w:r>
      <w:r w:rsidR="009D784E">
        <w:rPr>
          <w:rFonts w:ascii="Arial" w:hAnsi="Arial" w:cs="Arial"/>
          <w:sz w:val="20"/>
        </w:rPr>
        <w:t>4</w:t>
      </w:r>
      <w:r w:rsidR="00802B5D">
        <w:rPr>
          <w:rFonts w:ascii="Arial" w:hAnsi="Arial" w:cs="Arial"/>
          <w:sz w:val="20"/>
        </w:rPr>
        <w:t>.2025г. максималния</w:t>
      </w:r>
      <w:r w:rsidR="009D784E">
        <w:rPr>
          <w:rFonts w:ascii="Arial" w:hAnsi="Arial" w:cs="Arial"/>
          <w:sz w:val="20"/>
        </w:rPr>
        <w:t>т</w:t>
      </w:r>
      <w:r w:rsidR="00802B5D">
        <w:rPr>
          <w:rFonts w:ascii="Arial" w:hAnsi="Arial" w:cs="Arial"/>
          <w:sz w:val="20"/>
        </w:rPr>
        <w:t xml:space="preserve"> осигурителен доход се увеличава от 3 750 лв. на 4 130 лв.</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w:t>
      </w:r>
      <w:r w:rsidRPr="00B14C47">
        <w:rPr>
          <w:rFonts w:ascii="Arial" w:hAnsi="Arial" w:cs="Arial"/>
          <w:sz w:val="20"/>
        </w:rPr>
        <w:lastRenderedPageBreak/>
        <w:t>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0" w:name="_Toc195005003"/>
      <w:r w:rsidRPr="00B14C47">
        <w:rPr>
          <w:rFonts w:ascii="Arial" w:hAnsi="Arial" w:cs="Arial"/>
          <w:i/>
          <w:sz w:val="20"/>
          <w:szCs w:val="20"/>
          <w:lang w:val="bg-BG"/>
        </w:rPr>
        <w:t>ДАНЪЦИ ВЪРХУ ДОХОДА И ДДС</w:t>
      </w:r>
      <w:bookmarkEnd w:id="80"/>
    </w:p>
    <w:p w14:paraId="1B1FBE71" w14:textId="6ED279E0"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357879">
        <w:rPr>
          <w:rFonts w:ascii="Arial" w:hAnsi="Arial" w:cs="Arial"/>
          <w:sz w:val="20"/>
        </w:rPr>
        <w:t>5</w:t>
      </w:r>
      <w:r w:rsidR="00F24A1B" w:rsidRPr="00A56A6D">
        <w:rPr>
          <w:rFonts w:ascii="Arial" w:hAnsi="Arial" w:cs="Arial"/>
          <w:sz w:val="20"/>
        </w:rPr>
        <w:t xml:space="preserve">г. е 10% </w:t>
      </w:r>
      <w:r w:rsidR="00F24A1B" w:rsidRPr="00A56A6D">
        <w:rPr>
          <w:rFonts w:ascii="Arial" w:hAnsi="Arial" w:cs="Arial"/>
          <w:sz w:val="20"/>
          <w:lang w:val="en-US"/>
        </w:rPr>
        <w:t>(202</w:t>
      </w:r>
      <w:r w:rsidR="00357879">
        <w:rPr>
          <w:rFonts w:ascii="Arial" w:hAnsi="Arial" w:cs="Arial"/>
          <w:sz w:val="20"/>
        </w:rPr>
        <w:t>4</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68267D0"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w:t>
      </w:r>
      <w:r w:rsidR="004F3EAF">
        <w:rPr>
          <w:rFonts w:ascii="Arial" w:hAnsi="Arial" w:cs="Arial"/>
          <w:sz w:val="20"/>
        </w:rPr>
        <w:t>5</w:t>
      </w:r>
      <w:r w:rsidRPr="00A56A6D">
        <w:rPr>
          <w:rFonts w:ascii="Arial" w:hAnsi="Arial" w:cs="Arial"/>
          <w:sz w:val="20"/>
        </w:rPr>
        <w:t xml:space="preserve">г.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lastRenderedPageBreak/>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1" w:name="_Toc195005004"/>
      <w:r w:rsidRPr="00B14C47">
        <w:rPr>
          <w:rFonts w:ascii="Arial" w:hAnsi="Arial" w:cs="Arial"/>
          <w:lang w:val="bg-BG"/>
        </w:rPr>
        <w:t>Данък върху добавената стойност (ДДС)</w:t>
      </w:r>
      <w:bookmarkEnd w:id="81"/>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2" w:name="_Toc195005005"/>
      <w:bookmarkStart w:id="83" w:name="_Hlk510711709"/>
      <w:r w:rsidRPr="00B14C47">
        <w:rPr>
          <w:rFonts w:ascii="Arial" w:hAnsi="Arial" w:cs="Arial"/>
          <w:i/>
          <w:sz w:val="20"/>
          <w:szCs w:val="20"/>
          <w:lang w:val="bg-BG"/>
        </w:rPr>
        <w:t>ПРОВИЗИИ</w:t>
      </w:r>
      <w:bookmarkEnd w:id="82"/>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4" w:name="_Hlk517256351"/>
      <w:r w:rsidRPr="00B14C47">
        <w:rPr>
          <w:rFonts w:ascii="Arial" w:hAnsi="Arial" w:cs="Arial"/>
          <w:sz w:val="20"/>
        </w:rPr>
        <w:t>т.е. ще възникне изходящ паричен поток</w:t>
      </w:r>
      <w:bookmarkEnd w:id="84"/>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3"/>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5" w:name="_Toc195005006"/>
      <w:r w:rsidRPr="00B14C47">
        <w:rPr>
          <w:rFonts w:ascii="Arial" w:hAnsi="Arial" w:cs="Arial"/>
          <w:i/>
          <w:sz w:val="20"/>
          <w:szCs w:val="20"/>
          <w:lang w:val="bg-BG"/>
        </w:rPr>
        <w:t>КАПИТАЛ</w:t>
      </w:r>
      <w:bookmarkEnd w:id="85"/>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86" w:name="_Toc96871879"/>
      <w:bookmarkStart w:id="87" w:name="_Toc195005007"/>
      <w:r w:rsidRPr="00B14C47">
        <w:rPr>
          <w:rFonts w:ascii="Arial" w:hAnsi="Arial" w:cs="Arial"/>
          <w:lang w:val="bg-BG"/>
        </w:rPr>
        <w:t>Разпределяне на дивидент</w:t>
      </w:r>
      <w:bookmarkEnd w:id="86"/>
      <w:bookmarkEnd w:id="87"/>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88" w:name="_Toc96871880"/>
      <w:bookmarkStart w:id="89" w:name="_Toc195005008"/>
      <w:r w:rsidRPr="00B14C47">
        <w:rPr>
          <w:rFonts w:ascii="Arial" w:hAnsi="Arial" w:cs="Arial"/>
          <w:lang w:val="bg-BG"/>
        </w:rPr>
        <w:t>Собствени акции</w:t>
      </w:r>
      <w:bookmarkEnd w:id="88"/>
      <w:bookmarkEnd w:id="89"/>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0" w:name="_Toc195005009"/>
      <w:r w:rsidRPr="00B14C47">
        <w:rPr>
          <w:rFonts w:ascii="Arial" w:hAnsi="Arial" w:cs="Arial"/>
          <w:i/>
          <w:sz w:val="20"/>
          <w:szCs w:val="20"/>
          <w:lang w:val="bg-BG"/>
        </w:rPr>
        <w:t>ОПРЕДЕЛЯНЕ НА СПРАВЕДЛИВА СТОЙНОСТ</w:t>
      </w:r>
      <w:bookmarkEnd w:id="90"/>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lastRenderedPageBreak/>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1" w:name="_Toc195005010"/>
      <w:r w:rsidRPr="00B14C47">
        <w:rPr>
          <w:rFonts w:ascii="Arial" w:hAnsi="Arial" w:cs="Arial"/>
          <w:i/>
          <w:sz w:val="20"/>
          <w:szCs w:val="20"/>
          <w:lang w:val="bg-BG"/>
        </w:rPr>
        <w:t>КРИТИЧНИ СЧЕТОВОДНИ ПРЕЦЕНКИ И ПРИБЛИЗИТЕЛНИ ОЦЕНКИ</w:t>
      </w:r>
      <w:bookmarkEnd w:id="91"/>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Heading3"/>
        <w:spacing w:before="0"/>
        <w:rPr>
          <w:rFonts w:ascii="Arial" w:hAnsi="Arial" w:cs="Arial"/>
          <w:lang w:val="bg-BG"/>
        </w:rPr>
      </w:pPr>
      <w:bookmarkStart w:id="92" w:name="_Toc96871883"/>
      <w:bookmarkStart w:id="93" w:name="_Toc160806720"/>
      <w:bookmarkStart w:id="94" w:name="_Toc195005011"/>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2"/>
      <w:bookmarkEnd w:id="93"/>
      <w:bookmarkEnd w:id="94"/>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95" w:name="_Toc96871884"/>
      <w:bookmarkStart w:id="96" w:name="_Toc160806721"/>
      <w:bookmarkStart w:id="97" w:name="_Toc195005012"/>
      <w:r w:rsidRPr="00B14C47">
        <w:rPr>
          <w:rFonts w:ascii="Arial" w:hAnsi="Arial" w:cs="Arial"/>
          <w:lang w:val="bg-BG"/>
        </w:rPr>
        <w:lastRenderedPageBreak/>
        <w:t>Справедливата стойност на некотирани инвестиции</w:t>
      </w:r>
      <w:bookmarkEnd w:id="95"/>
      <w:bookmarkEnd w:id="96"/>
      <w:bookmarkEnd w:id="97"/>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98" w:name="_Toc96871885"/>
      <w:bookmarkStart w:id="99" w:name="_Toc160806722"/>
      <w:bookmarkStart w:id="100" w:name="_Toc195005013"/>
      <w:r w:rsidRPr="00B14C47">
        <w:rPr>
          <w:rFonts w:ascii="Arial" w:hAnsi="Arial" w:cs="Arial"/>
          <w:lang w:val="bg-BG"/>
        </w:rPr>
        <w:t>Приблизителна оценка на отсрочените данъци</w:t>
      </w:r>
      <w:bookmarkEnd w:id="98"/>
      <w:bookmarkEnd w:id="99"/>
      <w:bookmarkEnd w:id="100"/>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1" w:name="_Toc96871886"/>
      <w:bookmarkStart w:id="102" w:name="_Toc160806723"/>
      <w:bookmarkStart w:id="103" w:name="_Toc195005014"/>
      <w:r w:rsidRPr="00B14C47">
        <w:rPr>
          <w:rFonts w:ascii="Arial" w:hAnsi="Arial" w:cs="Arial"/>
          <w:lang w:val="bg-BG"/>
        </w:rPr>
        <w:t>Условни активи и пасиви</w:t>
      </w:r>
      <w:bookmarkEnd w:id="101"/>
      <w:bookmarkEnd w:id="102"/>
      <w:bookmarkEnd w:id="103"/>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8EE7F68"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04" w:name="_Toc247959153"/>
      <w:bookmarkStart w:id="105" w:name="_Toc195005015"/>
      <w:r w:rsidRPr="00B14C47">
        <w:rPr>
          <w:rFonts w:ascii="Arial" w:hAnsi="Arial" w:cs="Arial"/>
          <w:i/>
          <w:sz w:val="20"/>
          <w:szCs w:val="20"/>
          <w:lang w:val="bg-BG"/>
        </w:rPr>
        <w:t>С</w:t>
      </w:r>
      <w:bookmarkEnd w:id="104"/>
      <w:r w:rsidRPr="00B14C47">
        <w:rPr>
          <w:rFonts w:ascii="Arial" w:hAnsi="Arial" w:cs="Arial"/>
          <w:i/>
          <w:sz w:val="20"/>
          <w:szCs w:val="20"/>
          <w:lang w:val="bg-BG"/>
        </w:rPr>
        <w:t>ВЪРЗАНИ ЛИЦА И СДЕЛКИ МЕЖДУ ТЯХ</w:t>
      </w:r>
      <w:bookmarkEnd w:id="105"/>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06" w:name="_Toc247959159"/>
    </w:p>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07" w:name="_Toc195005016"/>
      <w:r w:rsidRPr="00B14C47">
        <w:rPr>
          <w:rFonts w:ascii="Arial" w:hAnsi="Arial" w:cs="Arial"/>
          <w:snapToGrid w:val="0"/>
          <w:sz w:val="20"/>
          <w:szCs w:val="20"/>
          <w:lang w:val="bg-BG"/>
        </w:rPr>
        <w:t>III. Д</w:t>
      </w:r>
      <w:bookmarkEnd w:id="106"/>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07"/>
    </w:p>
    <w:p w14:paraId="51C131CC" w14:textId="6B0E5D44" w:rsidR="00174D53" w:rsidRPr="00940147" w:rsidRDefault="00B66DF8" w:rsidP="00940147">
      <w:pPr>
        <w:pStyle w:val="Heading2"/>
        <w:rPr>
          <w:rFonts w:ascii="Arial" w:hAnsi="Arial" w:cs="Arial"/>
          <w:i/>
          <w:sz w:val="20"/>
          <w:szCs w:val="20"/>
          <w:u w:val="single"/>
          <w:lang w:val="bg-BG"/>
        </w:rPr>
      </w:pPr>
      <w:bookmarkStart w:id="108" w:name="_Toc247959160"/>
      <w:bookmarkStart w:id="109" w:name="_Toc314519579"/>
      <w:bookmarkStart w:id="110" w:name="_Toc195005017"/>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08"/>
      <w:bookmarkEnd w:id="109"/>
      <w:r w:rsidRPr="00B14C47">
        <w:rPr>
          <w:rFonts w:ascii="Arial" w:hAnsi="Arial" w:cs="Arial"/>
          <w:i/>
          <w:sz w:val="20"/>
          <w:szCs w:val="20"/>
          <w:u w:val="single"/>
          <w:lang w:val="bg-BG"/>
        </w:rPr>
        <w:t>печалбата или загубата и другия всеобхватен доход</w:t>
      </w:r>
      <w:bookmarkStart w:id="111" w:name="_Toc247959162"/>
      <w:bookmarkStart w:id="112" w:name="_Toc314519581"/>
      <w:bookmarkEnd w:id="110"/>
    </w:p>
    <w:p w14:paraId="7CFAB86A" w14:textId="77777777" w:rsidR="00B66DF8" w:rsidRDefault="00B66DF8" w:rsidP="00C806E3">
      <w:pPr>
        <w:pStyle w:val="Heading4"/>
        <w:numPr>
          <w:ilvl w:val="1"/>
          <w:numId w:val="13"/>
        </w:numPr>
        <w:rPr>
          <w:rFonts w:ascii="Arial" w:hAnsi="Arial" w:cs="Arial"/>
          <w:lang w:val="bg-BG"/>
        </w:rPr>
      </w:pPr>
      <w:bookmarkStart w:id="113" w:name="_Toc247959166"/>
      <w:bookmarkStart w:id="114" w:name="_Toc314519585"/>
      <w:bookmarkStart w:id="115" w:name="_Toc195005018"/>
      <w:bookmarkEnd w:id="111"/>
      <w:bookmarkEnd w:id="112"/>
      <w:r w:rsidRPr="00B14C47">
        <w:rPr>
          <w:rFonts w:ascii="Arial" w:hAnsi="Arial" w:cs="Arial"/>
          <w:lang w:val="bg-BG"/>
        </w:rPr>
        <w:t>Разходи за външни услуги</w:t>
      </w:r>
      <w:bookmarkEnd w:id="113"/>
      <w:bookmarkEnd w:id="114"/>
      <w:bookmarkEnd w:id="115"/>
    </w:p>
    <w:p w14:paraId="5A7C7496" w14:textId="77777777" w:rsidR="00D433CD" w:rsidRDefault="00D433CD" w:rsidP="00D433CD"/>
    <w:p w14:paraId="2EA847B7" w14:textId="77777777" w:rsidR="00D433CD" w:rsidRDefault="00D433CD" w:rsidP="00D433CD"/>
    <w:p w14:paraId="4A6A0B4E" w14:textId="1B6A2C1A" w:rsidR="00D433CD" w:rsidRDefault="00D433CD" w:rsidP="00D433CD">
      <w:r w:rsidRPr="00D433CD">
        <w:rPr>
          <w:noProof/>
        </w:rPr>
        <w:drawing>
          <wp:inline distT="0" distB="0" distL="0" distR="0" wp14:anchorId="595A4846" wp14:editId="13EA37C5">
            <wp:extent cx="5067300" cy="819150"/>
            <wp:effectExtent l="0" t="0" r="0" b="0"/>
            <wp:docPr id="1245416576"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7300" cy="819150"/>
                    </a:xfrm>
                    <a:prstGeom prst="rect">
                      <a:avLst/>
                    </a:prstGeom>
                    <a:noFill/>
                    <a:ln>
                      <a:noFill/>
                    </a:ln>
                  </pic:spPr>
                </pic:pic>
              </a:graphicData>
            </a:graphic>
          </wp:inline>
        </w:drawing>
      </w:r>
    </w:p>
    <w:p w14:paraId="05E0BDBF" w14:textId="77777777" w:rsidR="00D433CD" w:rsidRDefault="00D433CD" w:rsidP="00D433CD"/>
    <w:p w14:paraId="32D1E4D9" w14:textId="77777777" w:rsidR="00304A26" w:rsidRPr="00174D53" w:rsidRDefault="00304A26" w:rsidP="00304A26"/>
    <w:p w14:paraId="39451C45" w14:textId="77777777" w:rsidR="00B66DF8" w:rsidRDefault="00B66DF8" w:rsidP="00C806E3">
      <w:pPr>
        <w:pStyle w:val="Heading4"/>
        <w:numPr>
          <w:ilvl w:val="1"/>
          <w:numId w:val="13"/>
        </w:numPr>
        <w:rPr>
          <w:rFonts w:ascii="Arial" w:hAnsi="Arial" w:cs="Arial"/>
          <w:lang w:val="bg-BG"/>
        </w:rPr>
      </w:pPr>
      <w:bookmarkStart w:id="116" w:name="_Toc247959168"/>
      <w:bookmarkStart w:id="117" w:name="_Toc314519587"/>
      <w:bookmarkStart w:id="118" w:name="_Toc195005019"/>
      <w:r w:rsidRPr="00B14C47">
        <w:rPr>
          <w:rFonts w:ascii="Arial" w:hAnsi="Arial" w:cs="Arial"/>
          <w:lang w:val="bg-BG"/>
        </w:rPr>
        <w:t>Разходи за персонала</w:t>
      </w:r>
      <w:bookmarkEnd w:id="116"/>
      <w:bookmarkEnd w:id="117"/>
      <w:bookmarkEnd w:id="118"/>
    </w:p>
    <w:tbl>
      <w:tblPr>
        <w:tblW w:w="5000" w:type="pct"/>
        <w:tblCellMar>
          <w:left w:w="70" w:type="dxa"/>
          <w:right w:w="70" w:type="dxa"/>
        </w:tblCellMar>
        <w:tblLook w:val="04A0" w:firstRow="1" w:lastRow="0" w:firstColumn="1" w:lastColumn="0" w:noHBand="0" w:noVBand="1"/>
      </w:tblPr>
      <w:tblGrid>
        <w:gridCol w:w="5453"/>
        <w:gridCol w:w="2001"/>
        <w:gridCol w:w="2003"/>
      </w:tblGrid>
      <w:tr w:rsidR="00940147" w:rsidRPr="00940147" w14:paraId="7AA1540E" w14:textId="77777777" w:rsidTr="0094014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919B77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персонал</w:t>
            </w:r>
          </w:p>
        </w:tc>
      </w:tr>
      <w:tr w:rsidR="00940147" w:rsidRPr="00940147" w14:paraId="103C19C8"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1A22A3E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w:t>
            </w:r>
          </w:p>
        </w:tc>
        <w:tc>
          <w:tcPr>
            <w:tcW w:w="1058" w:type="pct"/>
            <w:tcBorders>
              <w:top w:val="nil"/>
              <w:left w:val="single" w:sz="4" w:space="0" w:color="auto"/>
              <w:bottom w:val="single" w:sz="4" w:space="0" w:color="auto"/>
              <w:right w:val="single" w:sz="4" w:space="0" w:color="auto"/>
            </w:tcBorders>
            <w:noWrap/>
            <w:vAlign w:val="bottom"/>
            <w:hideMark/>
          </w:tcPr>
          <w:p w14:paraId="3DF5E640" w14:textId="3FF48B21"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w:t>
            </w:r>
            <w:r w:rsidR="00D433CD">
              <w:rPr>
                <w:rFonts w:ascii="Arial" w:hAnsi="Arial" w:cs="Arial"/>
                <w:b/>
                <w:bCs/>
                <w:sz w:val="20"/>
                <w:lang w:eastAsia="bg-BG"/>
              </w:rPr>
              <w:t>1</w:t>
            </w:r>
            <w:r w:rsidRPr="00940147">
              <w:rPr>
                <w:rFonts w:ascii="Arial" w:hAnsi="Arial" w:cs="Arial"/>
                <w:b/>
                <w:bCs/>
                <w:sz w:val="20"/>
                <w:lang w:eastAsia="bg-BG"/>
              </w:rPr>
              <w:t>.</w:t>
            </w:r>
            <w:r w:rsidR="00D433CD">
              <w:rPr>
                <w:rFonts w:ascii="Arial" w:hAnsi="Arial" w:cs="Arial"/>
                <w:b/>
                <w:bCs/>
                <w:sz w:val="20"/>
                <w:lang w:eastAsia="bg-BG"/>
              </w:rPr>
              <w:t>12</w:t>
            </w:r>
            <w:r w:rsidRPr="00940147">
              <w:rPr>
                <w:rFonts w:ascii="Arial" w:hAnsi="Arial" w:cs="Arial"/>
                <w:b/>
                <w:bCs/>
                <w:sz w:val="20"/>
                <w:lang w:eastAsia="bg-BG"/>
              </w:rPr>
              <w:t>.2025 г.</w:t>
            </w:r>
          </w:p>
        </w:tc>
        <w:tc>
          <w:tcPr>
            <w:tcW w:w="1058" w:type="pct"/>
            <w:tcBorders>
              <w:top w:val="nil"/>
              <w:left w:val="nil"/>
              <w:bottom w:val="single" w:sz="4" w:space="0" w:color="auto"/>
              <w:right w:val="single" w:sz="4" w:space="0" w:color="auto"/>
            </w:tcBorders>
            <w:noWrap/>
            <w:vAlign w:val="bottom"/>
            <w:hideMark/>
          </w:tcPr>
          <w:p w14:paraId="1D8EF43A" w14:textId="1C6B028C"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w:t>
            </w:r>
            <w:r w:rsidR="00D433CD">
              <w:rPr>
                <w:rFonts w:ascii="Arial" w:hAnsi="Arial" w:cs="Arial"/>
                <w:b/>
                <w:bCs/>
                <w:sz w:val="20"/>
                <w:lang w:eastAsia="bg-BG"/>
              </w:rPr>
              <w:t>1</w:t>
            </w:r>
            <w:r w:rsidRPr="00940147">
              <w:rPr>
                <w:rFonts w:ascii="Arial" w:hAnsi="Arial" w:cs="Arial"/>
                <w:b/>
                <w:bCs/>
                <w:sz w:val="20"/>
                <w:lang w:eastAsia="bg-BG"/>
              </w:rPr>
              <w:t>.</w:t>
            </w:r>
            <w:r w:rsidR="00D433CD">
              <w:rPr>
                <w:rFonts w:ascii="Arial" w:hAnsi="Arial" w:cs="Arial"/>
                <w:b/>
                <w:bCs/>
                <w:sz w:val="20"/>
                <w:lang w:eastAsia="bg-BG"/>
              </w:rPr>
              <w:t>12</w:t>
            </w:r>
            <w:r w:rsidRPr="00940147">
              <w:rPr>
                <w:rFonts w:ascii="Arial" w:hAnsi="Arial" w:cs="Arial"/>
                <w:b/>
                <w:bCs/>
                <w:sz w:val="20"/>
                <w:lang w:eastAsia="bg-BG"/>
              </w:rPr>
              <w:t>.2024 г.</w:t>
            </w:r>
          </w:p>
        </w:tc>
      </w:tr>
      <w:tr w:rsidR="00940147" w:rsidRPr="00940147" w14:paraId="74CBFBBB"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6CB5D6C9"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заплати, в т.ч.:</w:t>
            </w:r>
          </w:p>
        </w:tc>
        <w:tc>
          <w:tcPr>
            <w:tcW w:w="1058" w:type="pct"/>
            <w:tcBorders>
              <w:top w:val="nil"/>
              <w:left w:val="single" w:sz="4" w:space="0" w:color="auto"/>
              <w:bottom w:val="single" w:sz="4" w:space="0" w:color="auto"/>
              <w:right w:val="single" w:sz="4" w:space="0" w:color="auto"/>
            </w:tcBorders>
            <w:noWrap/>
            <w:vAlign w:val="bottom"/>
            <w:hideMark/>
          </w:tcPr>
          <w:p w14:paraId="16FDC1A7" w14:textId="46E4832E"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D433CD">
              <w:rPr>
                <w:rFonts w:ascii="Arial" w:hAnsi="Arial" w:cs="Arial"/>
                <w:b/>
                <w:bCs/>
                <w:sz w:val="20"/>
                <w:lang w:eastAsia="bg-BG"/>
              </w:rPr>
              <w:t>5</w:t>
            </w:r>
            <w:r w:rsidRPr="00940147">
              <w:rPr>
                <w:rFonts w:ascii="Arial" w:hAnsi="Arial" w:cs="Arial"/>
                <w:b/>
                <w:bCs/>
                <w:sz w:val="20"/>
                <w:lang w:eastAsia="bg-BG"/>
              </w:rPr>
              <w:t xml:space="preserve"> </w:t>
            </w:r>
          </w:p>
        </w:tc>
        <w:tc>
          <w:tcPr>
            <w:tcW w:w="1058" w:type="pct"/>
            <w:tcBorders>
              <w:top w:val="nil"/>
              <w:left w:val="nil"/>
              <w:bottom w:val="single" w:sz="4" w:space="0" w:color="auto"/>
              <w:right w:val="single" w:sz="4" w:space="0" w:color="auto"/>
            </w:tcBorders>
            <w:noWrap/>
            <w:vAlign w:val="bottom"/>
            <w:hideMark/>
          </w:tcPr>
          <w:p w14:paraId="1FFAD50C" w14:textId="657734AF"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D433CD">
              <w:rPr>
                <w:rFonts w:ascii="Arial" w:hAnsi="Arial" w:cs="Arial"/>
                <w:b/>
                <w:bCs/>
                <w:sz w:val="20"/>
                <w:lang w:eastAsia="bg-BG"/>
              </w:rPr>
              <w:t>5</w:t>
            </w:r>
          </w:p>
        </w:tc>
      </w:tr>
      <w:tr w:rsidR="00940147" w:rsidRPr="00940147" w14:paraId="51D166C5"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508534FC"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noWrap/>
            <w:vAlign w:val="bottom"/>
            <w:hideMark/>
          </w:tcPr>
          <w:p w14:paraId="214E91B9" w14:textId="7867CDA1"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D433CD">
              <w:rPr>
                <w:rFonts w:ascii="Arial" w:hAnsi="Arial" w:cs="Arial"/>
                <w:sz w:val="20"/>
                <w:lang w:eastAsia="bg-BG"/>
              </w:rPr>
              <w:t>5</w:t>
            </w:r>
            <w:r w:rsidRPr="00940147">
              <w:rPr>
                <w:rFonts w:ascii="Arial" w:hAnsi="Arial" w:cs="Arial"/>
                <w:sz w:val="20"/>
                <w:lang w:eastAsia="bg-BG"/>
              </w:rPr>
              <w:t xml:space="preserve"> </w:t>
            </w:r>
          </w:p>
        </w:tc>
        <w:tc>
          <w:tcPr>
            <w:tcW w:w="1058" w:type="pct"/>
            <w:tcBorders>
              <w:top w:val="nil"/>
              <w:left w:val="nil"/>
              <w:bottom w:val="single" w:sz="4" w:space="0" w:color="auto"/>
              <w:right w:val="single" w:sz="4" w:space="0" w:color="auto"/>
            </w:tcBorders>
            <w:noWrap/>
            <w:vAlign w:val="bottom"/>
            <w:hideMark/>
          </w:tcPr>
          <w:p w14:paraId="5E392871" w14:textId="3D336E25"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w:t>
            </w:r>
            <w:r w:rsidR="00D433CD">
              <w:rPr>
                <w:rFonts w:ascii="Arial" w:hAnsi="Arial" w:cs="Arial"/>
                <w:sz w:val="20"/>
                <w:lang w:eastAsia="bg-BG"/>
              </w:rPr>
              <w:t>5</w:t>
            </w:r>
            <w:r w:rsidRPr="00940147">
              <w:rPr>
                <w:rFonts w:ascii="Arial" w:hAnsi="Arial" w:cs="Arial"/>
                <w:sz w:val="20"/>
                <w:lang w:eastAsia="bg-BG"/>
              </w:rPr>
              <w:t xml:space="preserve"> </w:t>
            </w:r>
          </w:p>
        </w:tc>
      </w:tr>
      <w:tr w:rsidR="00940147" w:rsidRPr="00940147" w14:paraId="21B8BC96"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696066B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осигуровки, в т.ч.:</w:t>
            </w:r>
          </w:p>
        </w:tc>
        <w:tc>
          <w:tcPr>
            <w:tcW w:w="1058" w:type="pct"/>
            <w:tcBorders>
              <w:top w:val="nil"/>
              <w:left w:val="single" w:sz="4" w:space="0" w:color="auto"/>
              <w:bottom w:val="single" w:sz="4" w:space="0" w:color="auto"/>
              <w:right w:val="single" w:sz="4" w:space="0" w:color="auto"/>
            </w:tcBorders>
            <w:noWrap/>
            <w:vAlign w:val="bottom"/>
            <w:hideMark/>
          </w:tcPr>
          <w:p w14:paraId="32522BF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1 </w:t>
            </w:r>
          </w:p>
        </w:tc>
        <w:tc>
          <w:tcPr>
            <w:tcW w:w="1058" w:type="pct"/>
            <w:tcBorders>
              <w:top w:val="nil"/>
              <w:left w:val="nil"/>
              <w:bottom w:val="single" w:sz="4" w:space="0" w:color="auto"/>
              <w:right w:val="single" w:sz="4" w:space="0" w:color="auto"/>
            </w:tcBorders>
            <w:noWrap/>
            <w:vAlign w:val="bottom"/>
            <w:hideMark/>
          </w:tcPr>
          <w:p w14:paraId="156D6B44" w14:textId="773C0BB3"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0E249E">
              <w:rPr>
                <w:rFonts w:ascii="Arial" w:hAnsi="Arial" w:cs="Arial"/>
                <w:b/>
                <w:bCs/>
                <w:sz w:val="20"/>
                <w:lang w:eastAsia="bg-BG"/>
              </w:rPr>
              <w:t>1</w:t>
            </w:r>
            <w:r w:rsidRPr="00940147">
              <w:rPr>
                <w:rFonts w:ascii="Arial" w:hAnsi="Arial" w:cs="Arial"/>
                <w:b/>
                <w:bCs/>
                <w:sz w:val="20"/>
                <w:lang w:eastAsia="bg-BG"/>
              </w:rPr>
              <w:t xml:space="preserve"> </w:t>
            </w:r>
          </w:p>
        </w:tc>
      </w:tr>
      <w:tr w:rsidR="00940147" w:rsidRPr="00940147" w14:paraId="042920C9" w14:textId="77777777" w:rsidTr="00940147">
        <w:trPr>
          <w:trHeight w:val="255"/>
        </w:trPr>
        <w:tc>
          <w:tcPr>
            <w:tcW w:w="2883" w:type="pct"/>
            <w:tcBorders>
              <w:top w:val="nil"/>
              <w:left w:val="single" w:sz="4" w:space="0" w:color="auto"/>
              <w:bottom w:val="single" w:sz="4" w:space="0" w:color="auto"/>
              <w:right w:val="nil"/>
            </w:tcBorders>
            <w:noWrap/>
            <w:vAlign w:val="bottom"/>
            <w:hideMark/>
          </w:tcPr>
          <w:p w14:paraId="472798C3"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noWrap/>
            <w:vAlign w:val="bottom"/>
            <w:hideMark/>
          </w:tcPr>
          <w:p w14:paraId="551C5B9D"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1 </w:t>
            </w:r>
          </w:p>
        </w:tc>
        <w:tc>
          <w:tcPr>
            <w:tcW w:w="1058" w:type="pct"/>
            <w:tcBorders>
              <w:top w:val="nil"/>
              <w:left w:val="nil"/>
              <w:bottom w:val="single" w:sz="4" w:space="0" w:color="auto"/>
              <w:right w:val="single" w:sz="4" w:space="0" w:color="auto"/>
            </w:tcBorders>
            <w:noWrap/>
            <w:vAlign w:val="bottom"/>
            <w:hideMark/>
          </w:tcPr>
          <w:p w14:paraId="3BF369A8" w14:textId="459B709D"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r w:rsidR="000E249E">
              <w:rPr>
                <w:rFonts w:ascii="Arial" w:hAnsi="Arial" w:cs="Arial"/>
                <w:sz w:val="20"/>
                <w:lang w:eastAsia="bg-BG"/>
              </w:rPr>
              <w:t xml:space="preserve">                1</w:t>
            </w:r>
          </w:p>
        </w:tc>
      </w:tr>
      <w:tr w:rsidR="00940147" w:rsidRPr="00940147" w14:paraId="14FB5626" w14:textId="77777777" w:rsidTr="00940147">
        <w:trPr>
          <w:trHeight w:val="255"/>
        </w:trPr>
        <w:tc>
          <w:tcPr>
            <w:tcW w:w="2883" w:type="pct"/>
            <w:tcBorders>
              <w:top w:val="nil"/>
              <w:left w:val="single" w:sz="4" w:space="0" w:color="auto"/>
              <w:bottom w:val="single" w:sz="4" w:space="0" w:color="auto"/>
              <w:right w:val="nil"/>
            </w:tcBorders>
            <w:shd w:val="clear" w:color="000000" w:fill="00AEEF"/>
            <w:noWrap/>
            <w:vAlign w:val="bottom"/>
            <w:hideMark/>
          </w:tcPr>
          <w:p w14:paraId="38DB6ED3"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1058" w:type="pct"/>
            <w:tcBorders>
              <w:top w:val="nil"/>
              <w:left w:val="single" w:sz="4" w:space="0" w:color="auto"/>
              <w:bottom w:val="single" w:sz="4" w:space="0" w:color="auto"/>
              <w:right w:val="single" w:sz="4" w:space="0" w:color="auto"/>
            </w:tcBorders>
            <w:shd w:val="clear" w:color="000000" w:fill="00AEEF"/>
            <w:noWrap/>
            <w:vAlign w:val="bottom"/>
            <w:hideMark/>
          </w:tcPr>
          <w:p w14:paraId="55376A25" w14:textId="1596B728"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D433CD">
              <w:rPr>
                <w:rFonts w:ascii="Arial" w:hAnsi="Arial" w:cs="Arial"/>
                <w:b/>
                <w:bCs/>
                <w:sz w:val="20"/>
                <w:lang w:eastAsia="bg-BG"/>
              </w:rPr>
              <w:t>6</w:t>
            </w:r>
            <w:r w:rsidRPr="00940147">
              <w:rPr>
                <w:rFonts w:ascii="Arial" w:hAnsi="Arial" w:cs="Arial"/>
                <w:b/>
                <w:bCs/>
                <w:sz w:val="20"/>
                <w:lang w:eastAsia="bg-BG"/>
              </w:rPr>
              <w:t xml:space="preserve"> </w:t>
            </w:r>
          </w:p>
        </w:tc>
        <w:tc>
          <w:tcPr>
            <w:tcW w:w="1058" w:type="pct"/>
            <w:tcBorders>
              <w:top w:val="nil"/>
              <w:left w:val="nil"/>
              <w:bottom w:val="single" w:sz="4" w:space="0" w:color="auto"/>
              <w:right w:val="single" w:sz="4" w:space="0" w:color="auto"/>
            </w:tcBorders>
            <w:shd w:val="clear" w:color="000000" w:fill="00AEEF"/>
            <w:noWrap/>
            <w:vAlign w:val="bottom"/>
            <w:hideMark/>
          </w:tcPr>
          <w:p w14:paraId="49EFF0F2" w14:textId="4419624B"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w:t>
            </w:r>
            <w:r w:rsidR="00D433CD">
              <w:rPr>
                <w:rFonts w:ascii="Arial" w:hAnsi="Arial" w:cs="Arial"/>
                <w:b/>
                <w:bCs/>
                <w:sz w:val="20"/>
                <w:lang w:eastAsia="bg-BG"/>
              </w:rPr>
              <w:t>6</w:t>
            </w:r>
            <w:r w:rsidRPr="00940147">
              <w:rPr>
                <w:rFonts w:ascii="Arial" w:hAnsi="Arial" w:cs="Arial"/>
                <w:b/>
                <w:bCs/>
                <w:sz w:val="20"/>
                <w:lang w:eastAsia="bg-BG"/>
              </w:rPr>
              <w:t xml:space="preserve"> </w:t>
            </w:r>
          </w:p>
        </w:tc>
      </w:tr>
    </w:tbl>
    <w:p w14:paraId="32AF65E2" w14:textId="77777777" w:rsidR="00940147" w:rsidRPr="00940147" w:rsidRDefault="00940147" w:rsidP="00940147"/>
    <w:p w14:paraId="55D0175B" w14:textId="77777777" w:rsidR="00EB1FC4" w:rsidRDefault="00EB1FC4" w:rsidP="00C806E3">
      <w:pPr>
        <w:pStyle w:val="Heading4"/>
        <w:numPr>
          <w:ilvl w:val="1"/>
          <w:numId w:val="13"/>
        </w:numPr>
        <w:rPr>
          <w:rFonts w:ascii="Arial" w:hAnsi="Arial" w:cs="Arial"/>
          <w:lang w:val="bg-BG"/>
        </w:rPr>
      </w:pPr>
      <w:bookmarkStart w:id="119" w:name="_Toc195005020"/>
      <w:r w:rsidRPr="00B14C47">
        <w:rPr>
          <w:rFonts w:ascii="Arial" w:hAnsi="Arial" w:cs="Arial"/>
          <w:lang w:val="bg-BG"/>
        </w:rPr>
        <w:t>Други разходи</w:t>
      </w:r>
      <w:bookmarkEnd w:id="11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649"/>
        <w:gridCol w:w="1814"/>
        <w:gridCol w:w="1994"/>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noWrap/>
            <w:vAlign w:val="bottom"/>
            <w:hideMark/>
          </w:tcPr>
          <w:p w14:paraId="1E4A35EF" w14:textId="1E9D46DA"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D433CD">
              <w:rPr>
                <w:rFonts w:ascii="Arial" w:hAnsi="Arial" w:cs="Arial"/>
                <w:b/>
                <w:bCs/>
                <w:sz w:val="20"/>
                <w:lang w:eastAsia="bg-BG"/>
              </w:rPr>
              <w:t>1</w:t>
            </w:r>
            <w:r>
              <w:rPr>
                <w:rFonts w:ascii="Arial" w:hAnsi="Arial" w:cs="Arial"/>
                <w:b/>
                <w:bCs/>
                <w:sz w:val="20"/>
                <w:lang w:eastAsia="bg-BG"/>
              </w:rPr>
              <w:t>.</w:t>
            </w:r>
            <w:r w:rsidR="00D433CD">
              <w:rPr>
                <w:rFonts w:ascii="Arial" w:hAnsi="Arial" w:cs="Arial"/>
                <w:b/>
                <w:bCs/>
                <w:sz w:val="20"/>
                <w:lang w:eastAsia="bg-BG"/>
              </w:rPr>
              <w:t>12</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noWrap/>
            <w:vAlign w:val="bottom"/>
            <w:hideMark/>
          </w:tcPr>
          <w:p w14:paraId="2003DCE8" w14:textId="4568DA57"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D433CD">
              <w:rPr>
                <w:rFonts w:ascii="Arial" w:hAnsi="Arial" w:cs="Arial"/>
                <w:b/>
                <w:bCs/>
                <w:sz w:val="20"/>
                <w:lang w:eastAsia="bg-BG"/>
              </w:rPr>
              <w:t>1</w:t>
            </w:r>
            <w:r>
              <w:rPr>
                <w:rFonts w:ascii="Arial" w:hAnsi="Arial" w:cs="Arial"/>
                <w:b/>
                <w:bCs/>
                <w:sz w:val="20"/>
                <w:lang w:eastAsia="bg-BG"/>
              </w:rPr>
              <w:t>.</w:t>
            </w:r>
            <w:r w:rsidR="00D433CD">
              <w:rPr>
                <w:rFonts w:ascii="Arial" w:hAnsi="Arial" w:cs="Arial"/>
                <w:b/>
                <w:bCs/>
                <w:sz w:val="20"/>
                <w:lang w:eastAsia="bg-BG"/>
              </w:rPr>
              <w:t>12</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2B2E78" w:rsidRPr="002B2E78" w14:paraId="02E87CD3" w14:textId="77777777" w:rsidTr="00A55AC8">
        <w:trPr>
          <w:trHeight w:val="264"/>
        </w:trPr>
        <w:tc>
          <w:tcPr>
            <w:tcW w:w="2987" w:type="pct"/>
            <w:tcBorders>
              <w:top w:val="nil"/>
              <w:left w:val="single" w:sz="4" w:space="0" w:color="auto"/>
              <w:bottom w:val="single" w:sz="4" w:space="0" w:color="auto"/>
              <w:right w:val="nil"/>
            </w:tcBorders>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noWrap/>
            <w:vAlign w:val="bottom"/>
            <w:hideMark/>
          </w:tcPr>
          <w:p w14:paraId="31C1EDFA" w14:textId="65E6773C"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5</w:t>
            </w:r>
            <w:r w:rsidR="00D433CD">
              <w:rPr>
                <w:rFonts w:ascii="Arial" w:hAnsi="Arial" w:cs="Arial"/>
                <w:sz w:val="20"/>
                <w:lang w:eastAsia="bg-BG"/>
              </w:rPr>
              <w:t>92</w:t>
            </w:r>
          </w:p>
        </w:tc>
        <w:tc>
          <w:tcPr>
            <w:tcW w:w="1054" w:type="pct"/>
            <w:tcBorders>
              <w:top w:val="nil"/>
              <w:left w:val="nil"/>
              <w:bottom w:val="single" w:sz="4" w:space="0" w:color="auto"/>
              <w:right w:val="single" w:sz="4" w:space="0" w:color="auto"/>
            </w:tcBorders>
            <w:noWrap/>
            <w:vAlign w:val="bottom"/>
            <w:hideMark/>
          </w:tcPr>
          <w:p w14:paraId="77D35ECB" w14:textId="6853EA6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D433CD">
              <w:rPr>
                <w:rFonts w:ascii="Arial" w:hAnsi="Arial" w:cs="Arial"/>
                <w:sz w:val="20"/>
                <w:lang w:eastAsia="bg-BG"/>
              </w:rPr>
              <w:t>160</w:t>
            </w:r>
          </w:p>
        </w:tc>
      </w:tr>
      <w:tr w:rsidR="002B2E78" w:rsidRPr="002B2E78" w14:paraId="4C5DC5AD"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58D253B2"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5</w:t>
            </w:r>
            <w:r w:rsidR="00D433CD">
              <w:rPr>
                <w:rFonts w:ascii="Arial" w:hAnsi="Arial" w:cs="Arial"/>
                <w:b/>
                <w:bCs/>
                <w:sz w:val="20"/>
                <w:lang w:eastAsia="bg-BG"/>
              </w:rPr>
              <w:t>92</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5D5AEB86"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D433CD">
              <w:rPr>
                <w:rFonts w:ascii="Arial" w:hAnsi="Arial" w:cs="Arial"/>
                <w:b/>
                <w:bCs/>
                <w:sz w:val="20"/>
                <w:lang w:eastAsia="bg-BG"/>
              </w:rPr>
              <w:t>160</w:t>
            </w:r>
          </w:p>
        </w:tc>
      </w:tr>
    </w:tbl>
    <w:p w14:paraId="35702F9A" w14:textId="77777777" w:rsidR="00C874BE" w:rsidRDefault="00C874BE" w:rsidP="00C806E3">
      <w:pPr>
        <w:pStyle w:val="Heading3"/>
        <w:numPr>
          <w:ilvl w:val="1"/>
          <w:numId w:val="13"/>
        </w:numPr>
        <w:rPr>
          <w:rFonts w:ascii="Arial" w:hAnsi="Arial" w:cs="Arial"/>
          <w:lang w:val="bg-BG"/>
        </w:rPr>
      </w:pPr>
      <w:bookmarkStart w:id="120" w:name="_Toc247959163"/>
      <w:bookmarkStart w:id="121" w:name="_Toc314519582"/>
      <w:bookmarkStart w:id="122" w:name="_Toc195005021"/>
      <w:bookmarkStart w:id="123" w:name="_Hlk510712219"/>
      <w:r w:rsidRPr="00B14C47">
        <w:rPr>
          <w:rFonts w:ascii="Arial" w:hAnsi="Arial" w:cs="Arial"/>
          <w:lang w:val="bg-BG"/>
        </w:rPr>
        <w:t>Финансови приходи</w:t>
      </w:r>
      <w:bookmarkEnd w:id="120"/>
      <w:bookmarkEnd w:id="121"/>
      <w:r w:rsidRPr="00B14C47">
        <w:rPr>
          <w:rFonts w:ascii="Arial" w:hAnsi="Arial" w:cs="Arial"/>
          <w:lang w:val="bg-BG"/>
        </w:rPr>
        <w:t xml:space="preserve"> и финансови разходи</w:t>
      </w:r>
      <w:bookmarkEnd w:id="122"/>
    </w:p>
    <w:p w14:paraId="3EF29DE4" w14:textId="77777777" w:rsidR="000F60A1" w:rsidRDefault="000F60A1" w:rsidP="000F60A1"/>
    <w:p w14:paraId="16989019" w14:textId="695406AB" w:rsidR="002B2E78" w:rsidRDefault="00AF0360" w:rsidP="000F60A1">
      <w:r w:rsidRPr="00AF0360">
        <w:rPr>
          <w:noProof/>
        </w:rPr>
        <w:drawing>
          <wp:inline distT="0" distB="0" distL="0" distR="0" wp14:anchorId="5193074F" wp14:editId="35E9E71D">
            <wp:extent cx="4581525" cy="2895600"/>
            <wp:effectExtent l="0" t="0" r="9525" b="0"/>
            <wp:docPr id="516651848"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895600"/>
                    </a:xfrm>
                    <a:prstGeom prst="rect">
                      <a:avLst/>
                    </a:prstGeom>
                    <a:noFill/>
                    <a:ln>
                      <a:noFill/>
                    </a:ln>
                  </pic:spPr>
                </pic:pic>
              </a:graphicData>
            </a:graphic>
          </wp:inline>
        </w:drawing>
      </w:r>
    </w:p>
    <w:p w14:paraId="25782A52" w14:textId="77777777" w:rsidR="00AF0360" w:rsidRDefault="00AF0360" w:rsidP="000F60A1"/>
    <w:p w14:paraId="0928564F" w14:textId="77777777" w:rsidR="00AF0360" w:rsidRDefault="00AF0360" w:rsidP="000F60A1"/>
    <w:p w14:paraId="072A072D" w14:textId="79608870" w:rsidR="00AF0360" w:rsidRPr="00AF0360" w:rsidRDefault="00AF0360" w:rsidP="00AF0360">
      <w:pPr>
        <w:pStyle w:val="ListParagraph"/>
        <w:numPr>
          <w:ilvl w:val="1"/>
          <w:numId w:val="13"/>
        </w:numPr>
        <w:rPr>
          <w:rFonts w:ascii="Arial" w:hAnsi="Arial" w:cs="Arial"/>
          <w:b/>
          <w:bCs/>
          <w:color w:val="4F81BD"/>
          <w:sz w:val="20"/>
        </w:rPr>
      </w:pPr>
      <w:r w:rsidRPr="00AF0360">
        <w:rPr>
          <w:rFonts w:ascii="Arial" w:hAnsi="Arial" w:cs="Arial"/>
          <w:b/>
          <w:bCs/>
          <w:color w:val="4F81BD"/>
          <w:sz w:val="20"/>
        </w:rPr>
        <w:t>Нетни (загуби)/печалби от обезценка на финансови активи</w:t>
      </w:r>
    </w:p>
    <w:p w14:paraId="016686E6" w14:textId="77777777" w:rsidR="00AF0360" w:rsidRDefault="00AF0360" w:rsidP="000F60A1"/>
    <w:p w14:paraId="0DC0116F" w14:textId="77777777" w:rsidR="00AF0360" w:rsidRDefault="00AF0360" w:rsidP="000F60A1"/>
    <w:p w14:paraId="71D68BAC" w14:textId="4AB63567" w:rsidR="00AF0360" w:rsidRDefault="00AF0360" w:rsidP="000F60A1">
      <w:r w:rsidRPr="00AF0360">
        <w:rPr>
          <w:noProof/>
        </w:rPr>
        <w:drawing>
          <wp:inline distT="0" distB="0" distL="0" distR="0" wp14:anchorId="72C573A9" wp14:editId="71739FC3">
            <wp:extent cx="4572000" cy="1790700"/>
            <wp:effectExtent l="0" t="0" r="0" b="0"/>
            <wp:docPr id="12263687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1790700"/>
                    </a:xfrm>
                    <a:prstGeom prst="rect">
                      <a:avLst/>
                    </a:prstGeom>
                    <a:noFill/>
                    <a:ln>
                      <a:noFill/>
                    </a:ln>
                  </pic:spPr>
                </pic:pic>
              </a:graphicData>
            </a:graphic>
          </wp:inline>
        </w:drawing>
      </w:r>
    </w:p>
    <w:p w14:paraId="073B6F9E" w14:textId="77777777" w:rsidR="00AF0360" w:rsidRPr="000F60A1" w:rsidRDefault="00AF0360" w:rsidP="000F60A1"/>
    <w:p w14:paraId="6023CFC4" w14:textId="70FBACCE" w:rsidR="00B66DF8" w:rsidRPr="00B14C47" w:rsidRDefault="00C874BE" w:rsidP="00C874BE">
      <w:pPr>
        <w:pStyle w:val="Heading3"/>
        <w:rPr>
          <w:rFonts w:ascii="Arial" w:hAnsi="Arial" w:cs="Arial"/>
          <w:lang w:val="bg-BG"/>
        </w:rPr>
      </w:pPr>
      <w:bookmarkStart w:id="124" w:name="_Toc195005022"/>
      <w:bookmarkStart w:id="125" w:name="_Hlk509878567"/>
      <w:bookmarkEnd w:id="123"/>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4"/>
    </w:p>
    <w:bookmarkEnd w:id="125"/>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noWrap/>
            <w:hideMark/>
          </w:tcPr>
          <w:p w14:paraId="201C4EEC" w14:textId="0ADF4852"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AF0360">
              <w:rPr>
                <w:rFonts w:ascii="Arial" w:hAnsi="Arial" w:cs="Arial"/>
                <w:b/>
                <w:bCs/>
                <w:sz w:val="20"/>
                <w:lang w:eastAsia="bg-BG"/>
              </w:rPr>
              <w:t>1</w:t>
            </w:r>
            <w:r>
              <w:rPr>
                <w:rFonts w:ascii="Arial" w:hAnsi="Arial" w:cs="Arial"/>
                <w:b/>
                <w:bCs/>
                <w:sz w:val="20"/>
                <w:lang w:eastAsia="bg-BG"/>
              </w:rPr>
              <w:t>.</w:t>
            </w:r>
            <w:r w:rsidR="00AF0360">
              <w:rPr>
                <w:rFonts w:ascii="Arial" w:hAnsi="Arial" w:cs="Arial"/>
                <w:b/>
                <w:bCs/>
                <w:sz w:val="20"/>
                <w:lang w:eastAsia="bg-BG"/>
              </w:rPr>
              <w:t>12</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noWrap/>
            <w:hideMark/>
          </w:tcPr>
          <w:p w14:paraId="790C89C0" w14:textId="7C66CA35"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AF0360">
              <w:rPr>
                <w:rFonts w:ascii="Arial" w:hAnsi="Arial" w:cs="Arial"/>
                <w:b/>
                <w:bCs/>
                <w:sz w:val="20"/>
                <w:lang w:eastAsia="bg-BG"/>
              </w:rPr>
              <w:t>1</w:t>
            </w:r>
            <w:r>
              <w:rPr>
                <w:rFonts w:ascii="Arial" w:hAnsi="Arial" w:cs="Arial"/>
                <w:b/>
                <w:bCs/>
                <w:sz w:val="20"/>
                <w:lang w:eastAsia="bg-BG"/>
              </w:rPr>
              <w:t>.</w:t>
            </w:r>
            <w:r w:rsidR="00AF0360">
              <w:rPr>
                <w:rFonts w:ascii="Arial" w:hAnsi="Arial" w:cs="Arial"/>
                <w:b/>
                <w:bCs/>
                <w:sz w:val="20"/>
                <w:lang w:eastAsia="bg-BG"/>
              </w:rPr>
              <w:t>12</w:t>
            </w:r>
            <w:r>
              <w:rPr>
                <w:rFonts w:ascii="Arial" w:hAnsi="Arial" w:cs="Arial"/>
                <w:b/>
                <w:bCs/>
                <w:sz w:val="20"/>
                <w:lang w:eastAsia="bg-BG"/>
              </w:rPr>
              <w:t>.</w:t>
            </w:r>
            <w:r w:rsidR="007A1A59" w:rsidRPr="00B14C47">
              <w:rPr>
                <w:rFonts w:ascii="Arial" w:hAnsi="Arial" w:cs="Arial"/>
                <w:b/>
                <w:bCs/>
                <w:sz w:val="20"/>
                <w:lang w:eastAsia="bg-BG"/>
              </w:rPr>
              <w:t>202</w:t>
            </w:r>
            <w:r w:rsidR="00AF0360">
              <w:rPr>
                <w:rFonts w:ascii="Arial" w:hAnsi="Arial" w:cs="Arial"/>
                <w:b/>
                <w:bCs/>
                <w:sz w:val="20"/>
                <w:lang w:eastAsia="bg-BG"/>
              </w:rPr>
              <w:t>4</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noWrap/>
            <w:hideMark/>
          </w:tcPr>
          <w:p w14:paraId="339CA272" w14:textId="3981973E" w:rsidR="008A71BD" w:rsidRPr="00B14C47" w:rsidRDefault="0047342D" w:rsidP="00C13396">
            <w:pPr>
              <w:jc w:val="center"/>
              <w:rPr>
                <w:rFonts w:ascii="Arial" w:hAnsi="Arial" w:cs="Arial"/>
                <w:sz w:val="20"/>
                <w:lang w:val="en-GB" w:eastAsia="bg-BG"/>
              </w:rPr>
            </w:pPr>
            <w:r w:rsidRPr="00B14C47">
              <w:rPr>
                <w:rFonts w:ascii="Arial" w:hAnsi="Arial" w:cs="Arial"/>
                <w:sz w:val="20"/>
                <w:lang w:val="en-GB" w:eastAsia="bg-BG"/>
              </w:rPr>
              <w:t>(</w:t>
            </w:r>
            <w:r w:rsidR="00AF0360">
              <w:rPr>
                <w:rFonts w:ascii="Arial" w:hAnsi="Arial" w:cs="Arial"/>
                <w:sz w:val="20"/>
                <w:lang w:eastAsia="bg-BG"/>
              </w:rPr>
              <w:t>9 820</w:t>
            </w:r>
            <w:r w:rsidRPr="00B14C47">
              <w:rPr>
                <w:rFonts w:ascii="Arial" w:hAnsi="Arial" w:cs="Arial"/>
                <w:sz w:val="20"/>
                <w:lang w:val="en-GB" w:eastAsia="bg-BG"/>
              </w:rPr>
              <w:t>)</w:t>
            </w:r>
          </w:p>
        </w:tc>
        <w:tc>
          <w:tcPr>
            <w:tcW w:w="1843" w:type="dxa"/>
            <w:tcBorders>
              <w:top w:val="nil"/>
              <w:left w:val="nil"/>
              <w:bottom w:val="single" w:sz="4" w:space="0" w:color="auto"/>
              <w:right w:val="single" w:sz="4" w:space="0" w:color="auto"/>
            </w:tcBorders>
            <w:noWrap/>
            <w:hideMark/>
          </w:tcPr>
          <w:p w14:paraId="1B10B1A7" w14:textId="103972C1" w:rsidR="008A71BD" w:rsidRPr="005534BA" w:rsidRDefault="00AF0360" w:rsidP="00CA2610">
            <w:pPr>
              <w:jc w:val="center"/>
              <w:rPr>
                <w:rFonts w:ascii="Arial" w:hAnsi="Arial" w:cs="Arial"/>
                <w:sz w:val="20"/>
                <w:lang w:eastAsia="bg-BG"/>
              </w:rPr>
            </w:pPr>
            <w:r>
              <w:rPr>
                <w:rFonts w:ascii="Arial" w:hAnsi="Arial" w:cs="Arial"/>
                <w:sz w:val="20"/>
                <w:lang w:eastAsia="bg-BG"/>
              </w:rPr>
              <w:t>(12)</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EB4CD7E" w:rsidR="008A71BD" w:rsidRPr="00B14C47" w:rsidRDefault="0047342D" w:rsidP="00C13396">
            <w:pPr>
              <w:jc w:val="center"/>
              <w:rPr>
                <w:rFonts w:ascii="Arial" w:hAnsi="Arial" w:cs="Arial"/>
                <w:b/>
                <w:bCs/>
                <w:sz w:val="20"/>
                <w:lang w:val="en-GB" w:eastAsia="bg-BG"/>
              </w:rPr>
            </w:pPr>
            <w:r w:rsidRPr="00B14C47">
              <w:rPr>
                <w:rFonts w:ascii="Arial" w:hAnsi="Arial" w:cs="Arial"/>
                <w:b/>
                <w:bCs/>
                <w:sz w:val="20"/>
                <w:lang w:val="en-GB" w:eastAsia="bg-BG"/>
              </w:rPr>
              <w:t>(</w:t>
            </w:r>
            <w:r w:rsidR="00AF0360">
              <w:rPr>
                <w:rFonts w:ascii="Arial" w:hAnsi="Arial" w:cs="Arial"/>
                <w:b/>
                <w:bCs/>
                <w:sz w:val="20"/>
                <w:lang w:eastAsia="bg-BG"/>
              </w:rPr>
              <w:t>9 820</w:t>
            </w:r>
            <w:r w:rsidRPr="00B14C47">
              <w:rPr>
                <w:rFonts w:ascii="Arial" w:hAnsi="Arial" w:cs="Arial"/>
                <w:b/>
                <w:bCs/>
                <w:sz w:val="20"/>
                <w:lang w:val="en-GB" w:eastAsia="bg-BG"/>
              </w:rPr>
              <w:t>)</w:t>
            </w:r>
          </w:p>
        </w:tc>
        <w:tc>
          <w:tcPr>
            <w:tcW w:w="1843" w:type="dxa"/>
            <w:tcBorders>
              <w:top w:val="nil"/>
              <w:left w:val="nil"/>
              <w:bottom w:val="single" w:sz="4" w:space="0" w:color="auto"/>
              <w:right w:val="single" w:sz="4" w:space="0" w:color="auto"/>
            </w:tcBorders>
            <w:shd w:val="clear" w:color="auto" w:fill="00B0F0"/>
            <w:noWrap/>
            <w:hideMark/>
          </w:tcPr>
          <w:p w14:paraId="32B8C288" w14:textId="0252F36D" w:rsidR="008A71BD" w:rsidRPr="005534BA" w:rsidRDefault="00AF0360" w:rsidP="00CA2610">
            <w:pPr>
              <w:jc w:val="center"/>
              <w:rPr>
                <w:rFonts w:ascii="Arial" w:hAnsi="Arial" w:cs="Arial"/>
                <w:b/>
                <w:bCs/>
                <w:sz w:val="20"/>
                <w:lang w:eastAsia="bg-BG"/>
              </w:rPr>
            </w:pPr>
            <w:r>
              <w:rPr>
                <w:rFonts w:ascii="Arial" w:hAnsi="Arial" w:cs="Arial"/>
                <w:b/>
                <w:bCs/>
                <w:sz w:val="20"/>
                <w:lang w:eastAsia="bg-BG"/>
              </w:rPr>
              <w:t>(12)</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01D1A67F" w:rsidR="008A71BD" w:rsidRPr="005534BA" w:rsidRDefault="0047342D" w:rsidP="00C13396">
            <w:pPr>
              <w:jc w:val="center"/>
              <w:rPr>
                <w:rFonts w:ascii="Arial" w:hAnsi="Arial" w:cs="Arial"/>
                <w:b/>
                <w:bCs/>
                <w:sz w:val="20"/>
                <w:lang w:eastAsia="bg-BG"/>
              </w:rPr>
            </w:pPr>
            <w:proofErr w:type="gramStart"/>
            <w:r w:rsidRPr="00B14C47">
              <w:rPr>
                <w:rFonts w:ascii="Arial" w:hAnsi="Arial" w:cs="Arial"/>
                <w:b/>
                <w:bCs/>
                <w:sz w:val="20"/>
                <w:lang w:val="en-GB" w:eastAsia="bg-BG"/>
              </w:rPr>
              <w:t>(</w:t>
            </w:r>
            <w:r w:rsidR="00AF0360">
              <w:rPr>
                <w:rFonts w:ascii="Arial" w:hAnsi="Arial" w:cs="Arial"/>
                <w:b/>
                <w:bCs/>
                <w:sz w:val="20"/>
                <w:lang w:eastAsia="bg-BG"/>
              </w:rPr>
              <w:t xml:space="preserve"> 9</w:t>
            </w:r>
            <w:proofErr w:type="gramEnd"/>
            <w:r w:rsidR="00AF0360">
              <w:rPr>
                <w:rFonts w:ascii="Arial" w:hAnsi="Arial" w:cs="Arial"/>
                <w:b/>
                <w:bCs/>
                <w:sz w:val="20"/>
                <w:lang w:eastAsia="bg-BG"/>
              </w:rPr>
              <w:t xml:space="preserve"> 820</w:t>
            </w:r>
            <w:r w:rsidR="005534BA">
              <w:rPr>
                <w:rFonts w:ascii="Arial" w:hAnsi="Arial" w:cs="Arial"/>
                <w:b/>
                <w:bCs/>
                <w:sz w:val="20"/>
                <w:lang w:eastAsia="bg-BG"/>
              </w:rPr>
              <w:t>)</w:t>
            </w:r>
          </w:p>
        </w:tc>
        <w:tc>
          <w:tcPr>
            <w:tcW w:w="1843" w:type="dxa"/>
            <w:tcBorders>
              <w:top w:val="nil"/>
              <w:left w:val="nil"/>
              <w:bottom w:val="single" w:sz="4" w:space="0" w:color="auto"/>
              <w:right w:val="single" w:sz="4" w:space="0" w:color="auto"/>
            </w:tcBorders>
            <w:shd w:val="clear" w:color="auto" w:fill="00B0F0"/>
            <w:noWrap/>
            <w:hideMark/>
          </w:tcPr>
          <w:p w14:paraId="79B82BBA" w14:textId="76F518B8" w:rsidR="008A71BD" w:rsidRPr="005534BA" w:rsidRDefault="00AF0360" w:rsidP="00CA2610">
            <w:pPr>
              <w:jc w:val="center"/>
              <w:rPr>
                <w:rFonts w:ascii="Arial" w:hAnsi="Arial" w:cs="Arial"/>
                <w:b/>
                <w:bCs/>
                <w:sz w:val="20"/>
                <w:lang w:eastAsia="bg-BG"/>
              </w:rPr>
            </w:pPr>
            <w:r>
              <w:rPr>
                <w:rFonts w:ascii="Arial" w:hAnsi="Arial" w:cs="Arial"/>
                <w:b/>
                <w:bCs/>
                <w:sz w:val="20"/>
                <w:lang w:eastAsia="bg-BG"/>
              </w:rPr>
              <w:t>(12)</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2D72ABBB"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C17567" w:rsidRPr="00B14C47">
              <w:rPr>
                <w:rFonts w:ascii="Arial" w:hAnsi="Arial" w:cs="Arial"/>
                <w:b/>
                <w:bCs/>
                <w:sz w:val="20"/>
                <w:lang w:eastAsia="bg-BG"/>
              </w:rPr>
              <w:t>00</w:t>
            </w:r>
            <w:r w:rsidR="00DE7ED9">
              <w:rPr>
                <w:rFonts w:ascii="Arial" w:hAnsi="Arial" w:cs="Arial"/>
                <w:b/>
                <w:bCs/>
                <w:sz w:val="20"/>
                <w:lang w:eastAsia="bg-BG"/>
              </w:rPr>
              <w:t>0</w:t>
            </w:r>
            <w:r w:rsidR="00874E27">
              <w:rPr>
                <w:rFonts w:ascii="Arial" w:hAnsi="Arial" w:cs="Arial"/>
                <w:b/>
                <w:bCs/>
                <w:sz w:val="20"/>
                <w:lang w:eastAsia="bg-BG"/>
              </w:rPr>
              <w:t>1</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40D410F3" w:rsidR="008A71BD" w:rsidRPr="00DE7ED9" w:rsidRDefault="00AF0360" w:rsidP="00CA2610">
            <w:pPr>
              <w:jc w:val="center"/>
              <w:rPr>
                <w:rFonts w:ascii="Arial" w:hAnsi="Arial" w:cs="Arial"/>
                <w:b/>
                <w:bCs/>
                <w:sz w:val="20"/>
                <w:lang w:eastAsia="bg-BG"/>
              </w:rPr>
            </w:pPr>
            <w:r>
              <w:rPr>
                <w:rFonts w:ascii="Arial" w:hAnsi="Arial" w:cs="Arial"/>
                <w:b/>
                <w:bCs/>
                <w:sz w:val="20"/>
                <w:lang w:eastAsia="bg-BG"/>
              </w:rPr>
              <w:t>(</w:t>
            </w:r>
            <w:r w:rsidR="00472C03" w:rsidRPr="00B14C47">
              <w:rPr>
                <w:rFonts w:ascii="Arial" w:hAnsi="Arial" w:cs="Arial"/>
                <w:b/>
                <w:bCs/>
                <w:sz w:val="20"/>
                <w:lang w:eastAsia="bg-BG"/>
              </w:rPr>
              <w:t>0,00</w:t>
            </w:r>
            <w:r w:rsidR="00DE7ED9">
              <w:rPr>
                <w:rFonts w:ascii="Arial" w:hAnsi="Arial" w:cs="Arial"/>
                <w:b/>
                <w:bCs/>
                <w:sz w:val="20"/>
                <w:lang w:eastAsia="bg-BG"/>
              </w:rPr>
              <w:t>0</w:t>
            </w:r>
            <w:r w:rsidR="003F2CA7">
              <w:rPr>
                <w:rFonts w:ascii="Arial" w:hAnsi="Arial" w:cs="Arial"/>
                <w:b/>
                <w:bCs/>
                <w:sz w:val="20"/>
                <w:lang w:eastAsia="bg-BG"/>
              </w:rPr>
              <w:t>0</w:t>
            </w:r>
            <w:r>
              <w:rPr>
                <w:rFonts w:ascii="Arial" w:hAnsi="Arial" w:cs="Arial"/>
                <w:b/>
                <w:bCs/>
                <w:sz w:val="20"/>
                <w:lang w:eastAsia="bg-BG"/>
              </w:rPr>
              <w:t>)</w:t>
            </w:r>
          </w:p>
        </w:tc>
      </w:tr>
    </w:tbl>
    <w:p w14:paraId="6FBE8DE9" w14:textId="76CB9FB3" w:rsidR="00B66DF8" w:rsidRDefault="00B66DF8" w:rsidP="00B66DF8">
      <w:pPr>
        <w:rPr>
          <w:rFonts w:ascii="Arial" w:hAnsi="Arial" w:cs="Arial"/>
          <w:b/>
          <w:sz w:val="20"/>
        </w:rPr>
      </w:pPr>
    </w:p>
    <w:p w14:paraId="7CBA83A5" w14:textId="77777777" w:rsidR="00802B5D" w:rsidRPr="00B14C47" w:rsidRDefault="00802B5D" w:rsidP="00B66DF8">
      <w:pPr>
        <w:rPr>
          <w:rFonts w:ascii="Arial" w:hAnsi="Arial" w:cs="Arial"/>
          <w:b/>
          <w:sz w:val="20"/>
        </w:rPr>
      </w:pPr>
    </w:p>
    <w:p w14:paraId="31838192" w14:textId="77777777" w:rsidR="00B66DF8" w:rsidRPr="00B14C47" w:rsidRDefault="00B66DF8" w:rsidP="00B66DF8">
      <w:pPr>
        <w:pStyle w:val="Heading2"/>
        <w:rPr>
          <w:rFonts w:ascii="Arial" w:hAnsi="Arial" w:cs="Arial"/>
          <w:i/>
          <w:sz w:val="20"/>
          <w:szCs w:val="20"/>
          <w:u w:val="single"/>
          <w:lang w:val="bg-BG"/>
        </w:rPr>
      </w:pPr>
      <w:bookmarkStart w:id="126" w:name="_Toc247959175"/>
      <w:bookmarkStart w:id="127" w:name="_Toc195005023"/>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6"/>
      <w:bookmarkEnd w:id="127"/>
    </w:p>
    <w:p w14:paraId="1D0E7F27" w14:textId="77777777" w:rsidR="00B66DF8" w:rsidRPr="00B14C47" w:rsidRDefault="00B66DF8" w:rsidP="00B66DF8">
      <w:pPr>
        <w:pStyle w:val="Heading3"/>
        <w:rPr>
          <w:rFonts w:ascii="Arial" w:hAnsi="Arial" w:cs="Arial"/>
          <w:u w:val="single"/>
          <w:lang w:val="bg-BG"/>
        </w:rPr>
      </w:pPr>
      <w:bookmarkStart w:id="128" w:name="_Toc195005024"/>
      <w:bookmarkStart w:id="129" w:name="_Toc247959176"/>
      <w:r w:rsidRPr="00B14C47">
        <w:rPr>
          <w:rFonts w:ascii="Arial" w:hAnsi="Arial" w:cs="Arial"/>
          <w:u w:val="single"/>
          <w:lang w:val="bg-BG"/>
        </w:rPr>
        <w:t>Нетекущи активи</w:t>
      </w:r>
      <w:bookmarkEnd w:id="128"/>
    </w:p>
    <w:p w14:paraId="5030CF16" w14:textId="77777777" w:rsidR="00B66DF8" w:rsidRPr="00B14C47" w:rsidRDefault="00B66DF8" w:rsidP="00B66DF8">
      <w:pPr>
        <w:pStyle w:val="Heading4"/>
        <w:rPr>
          <w:rFonts w:ascii="Arial" w:hAnsi="Arial" w:cs="Arial"/>
          <w:lang w:val="bg-BG"/>
        </w:rPr>
      </w:pPr>
      <w:bookmarkStart w:id="130" w:name="_Toc195005025"/>
      <w:bookmarkEnd w:id="12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0"/>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27"/>
        <w:gridCol w:w="1285"/>
        <w:gridCol w:w="865"/>
        <w:gridCol w:w="32"/>
        <w:gridCol w:w="422"/>
        <w:gridCol w:w="457"/>
        <w:gridCol w:w="239"/>
        <w:gridCol w:w="444"/>
        <w:gridCol w:w="917"/>
        <w:gridCol w:w="113"/>
        <w:gridCol w:w="1656"/>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4C473854"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DA2954">
              <w:rPr>
                <w:rFonts w:ascii="Arial" w:hAnsi="Arial" w:cs="Arial"/>
                <w:b/>
                <w:bCs/>
                <w:sz w:val="20"/>
                <w:lang w:eastAsia="bg-BG"/>
              </w:rPr>
              <w:t>1</w:t>
            </w:r>
            <w:r w:rsidRPr="00B14C47">
              <w:rPr>
                <w:rFonts w:ascii="Arial" w:hAnsi="Arial" w:cs="Arial"/>
                <w:b/>
                <w:bCs/>
                <w:sz w:val="20"/>
                <w:lang w:eastAsia="bg-BG"/>
              </w:rPr>
              <w:t>.</w:t>
            </w:r>
            <w:r w:rsidR="00DA2954">
              <w:rPr>
                <w:rFonts w:ascii="Arial" w:hAnsi="Arial" w:cs="Arial"/>
                <w:b/>
                <w:bCs/>
                <w:sz w:val="20"/>
                <w:lang w:eastAsia="bg-BG"/>
              </w:rPr>
              <w:t>12</w:t>
            </w:r>
            <w:r w:rsidRPr="00B14C47">
              <w:rPr>
                <w:rFonts w:ascii="Arial" w:hAnsi="Arial" w:cs="Arial"/>
                <w:b/>
                <w:bCs/>
                <w:sz w:val="20"/>
                <w:lang w:eastAsia="bg-BG"/>
              </w:rPr>
              <w:t>.20</w:t>
            </w:r>
            <w:r w:rsidR="007A1A59" w:rsidRPr="00B14C47">
              <w:rPr>
                <w:rFonts w:ascii="Arial" w:hAnsi="Arial" w:cs="Arial"/>
                <w:b/>
                <w:bCs/>
                <w:sz w:val="20"/>
                <w:lang w:eastAsia="bg-BG"/>
              </w:rPr>
              <w:t>2</w:t>
            </w:r>
            <w:r w:rsidR="005534BA">
              <w:rPr>
                <w:rFonts w:ascii="Arial" w:hAnsi="Arial" w:cs="Arial"/>
                <w:b/>
                <w:bCs/>
                <w:sz w:val="20"/>
                <w:lang w:eastAsia="bg-BG"/>
              </w:rPr>
              <w:t>5</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6259870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5534BA">
              <w:rPr>
                <w:rFonts w:ascii="Arial" w:hAnsi="Arial" w:cs="Arial"/>
                <w:b/>
                <w:bCs/>
                <w:sz w:val="20"/>
                <w:lang w:eastAsia="bg-BG"/>
              </w:rPr>
              <w:t>4</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8C84D69"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w:t>
            </w:r>
            <w:r w:rsidR="00DA2954">
              <w:rPr>
                <w:rFonts w:ascii="Arial" w:hAnsi="Arial" w:cs="Arial"/>
                <w:sz w:val="20"/>
                <w:lang w:eastAsia="bg-BG"/>
              </w:rPr>
              <w:t>1</w:t>
            </w:r>
            <w:r w:rsidRPr="00B14C47">
              <w:rPr>
                <w:rFonts w:ascii="Arial" w:hAnsi="Arial" w:cs="Arial"/>
                <w:sz w:val="20"/>
                <w:lang w:eastAsia="bg-BG"/>
              </w:rPr>
              <w:t xml:space="preserve">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60ACD338"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w:t>
            </w:r>
            <w:r w:rsidR="00DA2954">
              <w:rPr>
                <w:rFonts w:ascii="Arial" w:hAnsi="Arial" w:cs="Arial"/>
                <w:b/>
                <w:bCs/>
                <w:sz w:val="20"/>
                <w:lang w:eastAsia="bg-BG"/>
              </w:rPr>
              <w:t>1</w:t>
            </w:r>
            <w:r w:rsidRPr="00B14C47">
              <w:rPr>
                <w:rFonts w:ascii="Arial" w:hAnsi="Arial" w:cs="Arial"/>
                <w:b/>
                <w:bCs/>
                <w:sz w:val="20"/>
                <w:lang w:eastAsia="bg-BG"/>
              </w:rPr>
              <w:t xml:space="preserve">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noWrap/>
            <w:vAlign w:val="bottom"/>
            <w:hideMark/>
          </w:tcPr>
          <w:p w14:paraId="7E599789" w14:textId="710527C7" w:rsidR="004C7430" w:rsidRPr="00B14C47" w:rsidRDefault="004C7430" w:rsidP="00776980">
            <w:pPr>
              <w:jc w:val="center"/>
              <w:rPr>
                <w:rFonts w:ascii="Arial" w:hAnsi="Arial" w:cs="Arial"/>
                <w:b/>
                <w:bCs/>
                <w:sz w:val="20"/>
              </w:rPr>
            </w:pPr>
            <w:r w:rsidRPr="00B14C47">
              <w:rPr>
                <w:rFonts w:ascii="Arial" w:hAnsi="Arial" w:cs="Arial"/>
                <w:b/>
                <w:bCs/>
                <w:sz w:val="20"/>
              </w:rPr>
              <w:t>3</w:t>
            </w:r>
            <w:r w:rsidR="00DA2954">
              <w:rPr>
                <w:rFonts w:ascii="Arial" w:hAnsi="Arial" w:cs="Arial"/>
                <w:b/>
                <w:bCs/>
                <w:sz w:val="20"/>
              </w:rPr>
              <w:t>1</w:t>
            </w:r>
            <w:r w:rsidRPr="00B14C47">
              <w:rPr>
                <w:rFonts w:ascii="Arial" w:hAnsi="Arial" w:cs="Arial"/>
                <w:b/>
                <w:bCs/>
                <w:sz w:val="20"/>
              </w:rPr>
              <w:t>.</w:t>
            </w:r>
            <w:r w:rsidR="00DA2954">
              <w:rPr>
                <w:rFonts w:ascii="Arial" w:hAnsi="Arial" w:cs="Arial"/>
                <w:b/>
                <w:bCs/>
                <w:sz w:val="20"/>
              </w:rPr>
              <w:t>12</w:t>
            </w:r>
            <w:r w:rsidRPr="00B14C47">
              <w:rPr>
                <w:rFonts w:ascii="Arial" w:hAnsi="Arial" w:cs="Arial"/>
                <w:b/>
                <w:bCs/>
                <w:sz w:val="20"/>
              </w:rPr>
              <w:t>.20</w:t>
            </w:r>
            <w:r w:rsidR="007A1A59" w:rsidRPr="00B14C47">
              <w:rPr>
                <w:rFonts w:ascii="Arial" w:hAnsi="Arial" w:cs="Arial"/>
                <w:b/>
                <w:bCs/>
                <w:sz w:val="20"/>
              </w:rPr>
              <w:t>2</w:t>
            </w:r>
            <w:r w:rsidR="005534BA">
              <w:rPr>
                <w:rFonts w:ascii="Arial" w:hAnsi="Arial" w:cs="Arial"/>
                <w:b/>
                <w:bCs/>
                <w:sz w:val="20"/>
              </w:rPr>
              <w:t>5</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noWrap/>
            <w:vAlign w:val="bottom"/>
            <w:hideMark/>
          </w:tcPr>
          <w:p w14:paraId="4E176465" w14:textId="3CC06AD7"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5534BA">
              <w:rPr>
                <w:rFonts w:ascii="Arial" w:hAnsi="Arial" w:cs="Arial"/>
                <w:b/>
                <w:bCs/>
                <w:sz w:val="20"/>
              </w:rPr>
              <w:t>4</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DA2954">
        <w:trPr>
          <w:trHeight w:val="255"/>
        </w:trPr>
        <w:tc>
          <w:tcPr>
            <w:tcW w:w="1602" w:type="pct"/>
            <w:tcBorders>
              <w:top w:val="nil"/>
              <w:left w:val="single" w:sz="4" w:space="0" w:color="auto"/>
              <w:bottom w:val="single" w:sz="4" w:space="0" w:color="auto"/>
              <w:right w:val="nil"/>
            </w:tcBorders>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noWrap/>
            <w:vAlign w:val="bottom"/>
          </w:tcPr>
          <w:p w14:paraId="4393C574" w14:textId="78F89F93" w:rsidR="004C7430" w:rsidRPr="00B14C47" w:rsidRDefault="004C7430" w:rsidP="002F3A52">
            <w:pPr>
              <w:jc w:val="right"/>
              <w:rPr>
                <w:rFonts w:ascii="Arial" w:hAnsi="Arial" w:cs="Arial"/>
                <w:sz w:val="20"/>
              </w:rPr>
            </w:pPr>
          </w:p>
        </w:tc>
        <w:tc>
          <w:tcPr>
            <w:tcW w:w="827" w:type="pct"/>
            <w:gridSpan w:val="4"/>
            <w:tcBorders>
              <w:top w:val="nil"/>
              <w:left w:val="single" w:sz="4" w:space="0" w:color="auto"/>
              <w:bottom w:val="single" w:sz="4" w:space="0" w:color="auto"/>
              <w:right w:val="nil"/>
            </w:tcBorders>
            <w:shd w:val="clear" w:color="000000" w:fill="FFFFFF"/>
            <w:noWrap/>
            <w:vAlign w:val="bottom"/>
          </w:tcPr>
          <w:p w14:paraId="170ADD8B" w14:textId="6DD3FF5E" w:rsidR="004C7430" w:rsidRPr="00B14C47" w:rsidRDefault="004C7430" w:rsidP="002F3A52">
            <w:pPr>
              <w:rPr>
                <w:rFonts w:ascii="Arial" w:hAnsi="Arial" w:cs="Arial"/>
                <w:sz w:val="20"/>
              </w:rPr>
            </w:pPr>
          </w:p>
        </w:tc>
        <w:tc>
          <w:tcPr>
            <w:tcW w:w="477" w:type="pct"/>
            <w:tcBorders>
              <w:top w:val="nil"/>
              <w:left w:val="single" w:sz="4" w:space="0" w:color="auto"/>
              <w:bottom w:val="single" w:sz="4" w:space="0" w:color="auto"/>
              <w:right w:val="nil"/>
            </w:tcBorders>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4F801C18" w:rsidR="004C7430" w:rsidRPr="00B14C47" w:rsidRDefault="004C7430" w:rsidP="002F3A52">
            <w:pPr>
              <w:rPr>
                <w:rFonts w:ascii="Arial" w:hAnsi="Arial" w:cs="Arial"/>
                <w:b/>
                <w:bCs/>
                <w:sz w:val="20"/>
              </w:rPr>
            </w:pPr>
            <w:r w:rsidRPr="00B14C47">
              <w:rPr>
                <w:rFonts w:ascii="Arial" w:hAnsi="Arial" w:cs="Arial"/>
                <w:b/>
                <w:bCs/>
                <w:sz w:val="20"/>
              </w:rPr>
              <w:t xml:space="preserve">                  </w:t>
            </w:r>
            <w:r w:rsidR="00DA2954">
              <w:rPr>
                <w:rFonts w:ascii="Arial" w:hAnsi="Arial" w:cs="Arial"/>
                <w:b/>
                <w:bCs/>
                <w:sz w:val="20"/>
              </w:rPr>
              <w:t>1</w:t>
            </w:r>
            <w:r w:rsidRPr="00B14C47">
              <w:rPr>
                <w:rFonts w:ascii="Arial" w:hAnsi="Arial" w:cs="Arial"/>
                <w:b/>
                <w:bCs/>
                <w:sz w:val="20"/>
              </w:rPr>
              <w:t xml:space="preserve">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47AB0A34" w14:textId="77777777" w:rsidR="00DA2954" w:rsidRDefault="00DA2954" w:rsidP="00C13396">
      <w:pPr>
        <w:autoSpaceDE w:val="0"/>
        <w:autoSpaceDN w:val="0"/>
        <w:adjustRightInd w:val="0"/>
        <w:rPr>
          <w:rFonts w:ascii="Arial" w:hAnsi="Arial" w:cs="Arial"/>
          <w:color w:val="000000"/>
          <w:sz w:val="20"/>
        </w:rPr>
      </w:pPr>
    </w:p>
    <w:p w14:paraId="42C8BFBC" w14:textId="77777777" w:rsidR="00481961" w:rsidRPr="00481961" w:rsidRDefault="00481961" w:rsidP="00481961">
      <w:pPr>
        <w:spacing w:line="320" w:lineRule="atLeast"/>
        <w:rPr>
          <w:sz w:val="26"/>
          <w:szCs w:val="26"/>
          <w:lang w:eastAsia="bg-BG"/>
        </w:rPr>
      </w:pPr>
      <w:r w:rsidRPr="00481961">
        <w:rPr>
          <w:rFonts w:ascii="Arial" w:hAnsi="Arial" w:cs="Arial"/>
          <w:bCs/>
          <w:iCs/>
          <w:sz w:val="20"/>
          <w:lang w:val="en-US"/>
        </w:rPr>
        <w:t xml:space="preserve">На 08.12.2025г „ИНФРА ХОЛДИНГ” АД продаде пряко притежаваните 100% от капитала на дъщерното си дружество „ВИТЕХ </w:t>
      </w:r>
      <w:proofErr w:type="gramStart"/>
      <w:r w:rsidRPr="00481961">
        <w:rPr>
          <w:rFonts w:ascii="Arial" w:hAnsi="Arial" w:cs="Arial"/>
          <w:bCs/>
          <w:iCs/>
          <w:sz w:val="20"/>
          <w:lang w:val="en-US"/>
        </w:rPr>
        <w:t>СТРОЙ“ ЕООД</w:t>
      </w:r>
      <w:proofErr w:type="gramEnd"/>
      <w:r w:rsidRPr="00481961">
        <w:rPr>
          <w:sz w:val="26"/>
          <w:szCs w:val="26"/>
          <w:lang w:eastAsia="bg-BG"/>
        </w:rPr>
        <w:t>.</w:t>
      </w:r>
    </w:p>
    <w:p w14:paraId="22445BC2" w14:textId="77777777" w:rsidR="00802B5D" w:rsidRPr="00B14C47" w:rsidRDefault="00802B5D" w:rsidP="00C13396">
      <w:pPr>
        <w:autoSpaceDE w:val="0"/>
        <w:autoSpaceDN w:val="0"/>
        <w:adjustRightInd w:val="0"/>
        <w:rPr>
          <w:rFonts w:ascii="Arial" w:hAnsi="Arial" w:cs="Arial"/>
          <w:color w:val="000000"/>
          <w:sz w:val="20"/>
        </w:rPr>
      </w:pPr>
    </w:p>
    <w:p w14:paraId="73734613" w14:textId="77777777" w:rsidR="00B66DF8" w:rsidRPr="00B14C47" w:rsidRDefault="00B66DF8" w:rsidP="00B66DF8">
      <w:pPr>
        <w:pStyle w:val="Heading4"/>
        <w:rPr>
          <w:rFonts w:ascii="Arial" w:hAnsi="Arial" w:cs="Arial"/>
          <w:lang w:val="bg-BG"/>
        </w:rPr>
      </w:pPr>
      <w:bookmarkStart w:id="131" w:name="_Toc247959179"/>
      <w:bookmarkStart w:id="132" w:name="_Toc195005026"/>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1"/>
      <w:bookmarkEnd w:id="13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r w:rsidRPr="00B14C47">
              <w:rPr>
                <w:rFonts w:ascii="Arial" w:hAnsi="Arial" w:cs="Arial"/>
                <w:b/>
                <w:bCs/>
                <w:sz w:val="12"/>
                <w:szCs w:val="12"/>
                <w:lang w:eastAsia="bg-BG"/>
              </w:rPr>
              <w:lastRenderedPageBreak/>
              <w:t>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3A8EF06" w14:textId="0AD234F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lastRenderedPageBreak/>
              <w:t>31 декември 202</w:t>
            </w:r>
            <w:r w:rsidR="00386BC3">
              <w:rPr>
                <w:rFonts w:ascii="Arial" w:hAnsi="Arial" w:cs="Arial"/>
                <w:b/>
                <w:bCs/>
                <w:sz w:val="12"/>
                <w:szCs w:val="12"/>
                <w:lang w:eastAsia="bg-BG"/>
              </w:rPr>
              <w:t>4</w:t>
            </w:r>
          </w:p>
        </w:tc>
        <w:tc>
          <w:tcPr>
            <w:tcW w:w="3987" w:type="dxa"/>
            <w:gridSpan w:val="4"/>
            <w:tcBorders>
              <w:top w:val="single" w:sz="4" w:space="0" w:color="auto"/>
              <w:left w:val="nil"/>
              <w:bottom w:val="single" w:sz="4" w:space="0" w:color="auto"/>
              <w:right w:val="single" w:sz="4" w:space="0" w:color="auto"/>
            </w:tcBorders>
            <w:noWrap/>
            <w:vAlign w:val="bottom"/>
            <w:hideMark/>
          </w:tcPr>
          <w:p w14:paraId="42E68169" w14:textId="57D3FFFE"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w:t>
            </w:r>
            <w:r w:rsidR="00386BC3">
              <w:rPr>
                <w:rFonts w:ascii="Arial" w:hAnsi="Arial" w:cs="Arial"/>
                <w:b/>
                <w:bCs/>
                <w:sz w:val="12"/>
                <w:szCs w:val="12"/>
                <w:lang w:eastAsia="bg-BG"/>
              </w:rPr>
              <w:t xml:space="preserve">а </w:t>
            </w:r>
            <w:r w:rsidR="00481961">
              <w:rPr>
                <w:rFonts w:ascii="Arial" w:hAnsi="Arial" w:cs="Arial"/>
                <w:b/>
                <w:bCs/>
                <w:sz w:val="12"/>
                <w:szCs w:val="12"/>
                <w:lang w:eastAsia="bg-BG"/>
              </w:rPr>
              <w:t>четвърто</w:t>
            </w:r>
            <w:r w:rsidR="00386BC3">
              <w:rPr>
                <w:rFonts w:ascii="Arial" w:hAnsi="Arial" w:cs="Arial"/>
                <w:b/>
                <w:bCs/>
                <w:sz w:val="12"/>
                <w:szCs w:val="12"/>
                <w:lang w:eastAsia="bg-BG"/>
              </w:rPr>
              <w:t xml:space="preserve"> тримесечие на 2025г</w:t>
            </w:r>
          </w:p>
        </w:tc>
        <w:tc>
          <w:tcPr>
            <w:tcW w:w="216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FFF76E2" w14:textId="6EE22256"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w:t>
            </w:r>
            <w:r w:rsidR="00481961">
              <w:rPr>
                <w:rFonts w:ascii="Arial" w:hAnsi="Arial" w:cs="Arial"/>
                <w:b/>
                <w:bCs/>
                <w:sz w:val="12"/>
                <w:szCs w:val="12"/>
                <w:lang w:eastAsia="bg-BG"/>
              </w:rPr>
              <w:t>1 Деке</w:t>
            </w:r>
            <w:r w:rsidR="003F2CA7">
              <w:rPr>
                <w:rFonts w:ascii="Arial" w:hAnsi="Arial" w:cs="Arial"/>
                <w:b/>
                <w:bCs/>
                <w:sz w:val="12"/>
                <w:szCs w:val="12"/>
                <w:lang w:eastAsia="bg-BG"/>
              </w:rPr>
              <w:t>мври</w:t>
            </w:r>
            <w:r>
              <w:rPr>
                <w:rFonts w:ascii="Arial" w:hAnsi="Arial" w:cs="Arial"/>
                <w:b/>
                <w:bCs/>
                <w:sz w:val="12"/>
                <w:szCs w:val="12"/>
                <w:lang w:eastAsia="bg-BG"/>
              </w:rPr>
              <w:t xml:space="preserve"> 202</w:t>
            </w:r>
            <w:r w:rsidR="00386BC3">
              <w:rPr>
                <w:rFonts w:ascii="Arial" w:hAnsi="Arial" w:cs="Arial"/>
                <w:b/>
                <w:bCs/>
                <w:sz w:val="12"/>
                <w:szCs w:val="12"/>
                <w:lang w:eastAsia="bg-BG"/>
              </w:rPr>
              <w:t>5</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noWrap/>
            <w:vAlign w:val="center"/>
            <w:hideMark/>
          </w:tcPr>
          <w:p w14:paraId="7BA8BB0C" w14:textId="2216B0C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8434AD">
              <w:rPr>
                <w:rFonts w:ascii="Arial" w:hAnsi="Arial" w:cs="Arial"/>
                <w:sz w:val="12"/>
                <w:szCs w:val="12"/>
                <w:lang w:eastAsia="bg-BG"/>
              </w:rPr>
              <w:t>5</w:t>
            </w:r>
          </w:p>
        </w:tc>
        <w:tc>
          <w:tcPr>
            <w:tcW w:w="715" w:type="dxa"/>
            <w:tcBorders>
              <w:top w:val="nil"/>
              <w:left w:val="nil"/>
              <w:bottom w:val="single" w:sz="4" w:space="0" w:color="auto"/>
              <w:right w:val="single" w:sz="4" w:space="0" w:color="auto"/>
            </w:tcBorders>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noWrap/>
            <w:vAlign w:val="bottom"/>
            <w:hideMark/>
          </w:tcPr>
          <w:p w14:paraId="6547BF3C" w14:textId="23DD4A6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4AAD0A8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382"/>
        <w:gridCol w:w="2094"/>
        <w:gridCol w:w="1975"/>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13E4A6BB"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481961">
              <w:rPr>
                <w:rFonts w:ascii="Arial" w:hAnsi="Arial" w:cs="Arial"/>
                <w:b/>
                <w:bCs/>
                <w:sz w:val="20"/>
                <w:lang w:eastAsia="bg-BG"/>
              </w:rPr>
              <w:t>1</w:t>
            </w:r>
            <w:r w:rsidRPr="00B14C47">
              <w:rPr>
                <w:rFonts w:ascii="Arial" w:hAnsi="Arial" w:cs="Arial"/>
                <w:b/>
                <w:bCs/>
                <w:sz w:val="20"/>
                <w:lang w:eastAsia="bg-BG"/>
              </w:rPr>
              <w:t>.</w:t>
            </w:r>
            <w:r w:rsidR="00481961">
              <w:rPr>
                <w:rFonts w:ascii="Arial" w:hAnsi="Arial" w:cs="Arial"/>
                <w:b/>
                <w:bCs/>
                <w:sz w:val="20"/>
                <w:lang w:eastAsia="bg-BG"/>
              </w:rPr>
              <w:t>12</w:t>
            </w:r>
            <w:r w:rsidRPr="00B14C47">
              <w:rPr>
                <w:rFonts w:ascii="Arial" w:hAnsi="Arial" w:cs="Arial"/>
                <w:b/>
                <w:bCs/>
                <w:sz w:val="20"/>
                <w:lang w:eastAsia="bg-BG"/>
              </w:rPr>
              <w:t>.20</w:t>
            </w:r>
            <w:r w:rsidR="00187AF2" w:rsidRPr="00B14C47">
              <w:rPr>
                <w:rFonts w:ascii="Arial" w:hAnsi="Arial" w:cs="Arial"/>
                <w:b/>
                <w:bCs/>
                <w:sz w:val="20"/>
                <w:lang w:eastAsia="bg-BG"/>
              </w:rPr>
              <w:t>2</w:t>
            </w:r>
            <w:r w:rsidR="00386BC3">
              <w:rPr>
                <w:rFonts w:ascii="Arial" w:hAnsi="Arial" w:cs="Arial"/>
                <w:b/>
                <w:bCs/>
                <w:sz w:val="20"/>
                <w:lang w:eastAsia="bg-BG"/>
              </w:rPr>
              <w:t>5</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52C32FA9"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9637EA">
              <w:rPr>
                <w:rFonts w:ascii="Arial" w:hAnsi="Arial" w:cs="Arial"/>
                <w:b/>
                <w:bCs/>
                <w:sz w:val="20"/>
                <w:lang w:eastAsia="bg-BG"/>
              </w:rPr>
              <w:t>2</w:t>
            </w:r>
            <w:r w:rsidR="00386BC3">
              <w:rPr>
                <w:rFonts w:ascii="Arial" w:hAnsi="Arial" w:cs="Arial"/>
                <w:b/>
                <w:bCs/>
                <w:sz w:val="20"/>
                <w:lang w:eastAsia="bg-BG"/>
              </w:rPr>
              <w:t>4</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Heading3"/>
        <w:rPr>
          <w:rFonts w:ascii="Arial" w:hAnsi="Arial" w:cs="Arial"/>
          <w:u w:val="single"/>
        </w:rPr>
      </w:pPr>
      <w:bookmarkStart w:id="133" w:name="_Toc195005027"/>
      <w:r w:rsidRPr="00B14C47">
        <w:rPr>
          <w:rFonts w:ascii="Arial" w:hAnsi="Arial" w:cs="Arial"/>
          <w:u w:val="single"/>
          <w:lang w:val="bg-BG"/>
        </w:rPr>
        <w:t>Текущи активи</w:t>
      </w:r>
      <w:bookmarkEnd w:id="133"/>
    </w:p>
    <w:p w14:paraId="6E390606" w14:textId="1A594741" w:rsidR="00896259" w:rsidRDefault="00D54AF6" w:rsidP="006D649B">
      <w:pPr>
        <w:pStyle w:val="Heading4"/>
        <w:rPr>
          <w:rFonts w:ascii="Arial" w:hAnsi="Arial" w:cs="Arial"/>
          <w:lang w:val="bg-BG"/>
        </w:rPr>
      </w:pPr>
      <w:bookmarkStart w:id="134" w:name="_Toc43188491"/>
      <w:bookmarkStart w:id="135" w:name="_Toc195005028"/>
      <w:r w:rsidRPr="00B14C47">
        <w:rPr>
          <w:rFonts w:ascii="Arial" w:hAnsi="Arial" w:cs="Arial"/>
          <w:lang w:val="bg-BG"/>
        </w:rPr>
        <w:t>2.3 Други текущи финансови активи</w:t>
      </w:r>
      <w:bookmarkEnd w:id="134"/>
      <w:bookmarkEnd w:id="135"/>
    </w:p>
    <w:p w14:paraId="0A10578F" w14:textId="77777777" w:rsidR="009D784E" w:rsidRDefault="009D784E" w:rsidP="009D784E"/>
    <w:p w14:paraId="6994DAF4" w14:textId="77777777" w:rsidR="009D784E" w:rsidRPr="009D784E" w:rsidRDefault="009D784E" w:rsidP="009D784E"/>
    <w:p w14:paraId="6E0F5B42" w14:textId="77777777" w:rsidR="00802B5D" w:rsidRPr="00802B5D" w:rsidRDefault="00802B5D" w:rsidP="00802B5D"/>
    <w:tbl>
      <w:tblPr>
        <w:tblW w:w="5000" w:type="pct"/>
        <w:tblCellMar>
          <w:left w:w="70" w:type="dxa"/>
          <w:right w:w="70" w:type="dxa"/>
        </w:tblCellMar>
        <w:tblLook w:val="04A0" w:firstRow="1" w:lastRow="0" w:firstColumn="1" w:lastColumn="0" w:noHBand="0" w:noVBand="1"/>
      </w:tblPr>
      <w:tblGrid>
        <w:gridCol w:w="5453"/>
        <w:gridCol w:w="1974"/>
        <w:gridCol w:w="2030"/>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1BFE95F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481961">
              <w:rPr>
                <w:rFonts w:ascii="Arial" w:hAnsi="Arial" w:cs="Arial"/>
                <w:b/>
                <w:bCs/>
                <w:sz w:val="20"/>
                <w:lang w:eastAsia="bg-BG"/>
              </w:rPr>
              <w:t>1</w:t>
            </w:r>
            <w:r w:rsidRPr="002B2E78">
              <w:rPr>
                <w:rFonts w:ascii="Arial" w:hAnsi="Arial" w:cs="Arial"/>
                <w:b/>
                <w:bCs/>
                <w:sz w:val="20"/>
                <w:lang w:eastAsia="bg-BG"/>
              </w:rPr>
              <w:t>.</w:t>
            </w:r>
            <w:r w:rsidR="00481961">
              <w:rPr>
                <w:rFonts w:ascii="Arial" w:hAnsi="Arial" w:cs="Arial"/>
                <w:b/>
                <w:bCs/>
                <w:sz w:val="20"/>
                <w:lang w:eastAsia="bg-BG"/>
              </w:rPr>
              <w:t>12</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6204BAD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6B7F80F2"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481961">
              <w:rPr>
                <w:rFonts w:ascii="Arial" w:hAnsi="Arial" w:cs="Arial"/>
                <w:sz w:val="20"/>
                <w:lang w:eastAsia="bg-BG"/>
              </w:rPr>
              <w:t>11</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0BEBEFD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6342DC8B" w14:textId="77777777" w:rsidTr="00802B5D">
        <w:trPr>
          <w:trHeight w:val="528"/>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3F85D91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481961">
              <w:rPr>
                <w:rFonts w:ascii="Arial" w:hAnsi="Arial" w:cs="Arial"/>
                <w:sz w:val="20"/>
                <w:lang w:eastAsia="bg-BG"/>
              </w:rPr>
              <w:t xml:space="preserve">   214</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7CBB74C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9 9</w:t>
            </w:r>
            <w:r w:rsidR="00C56F6C">
              <w:rPr>
                <w:rFonts w:ascii="Arial" w:hAnsi="Arial" w:cs="Arial"/>
                <w:sz w:val="20"/>
                <w:lang w:eastAsia="bg-BG"/>
              </w:rPr>
              <w:t>81</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3C33B04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C56F6C">
              <w:rPr>
                <w:rFonts w:ascii="Arial" w:hAnsi="Arial" w:cs="Arial"/>
                <w:b/>
                <w:bCs/>
                <w:sz w:val="20"/>
                <w:lang w:eastAsia="bg-BG"/>
              </w:rPr>
              <w:t xml:space="preserve">  </w:t>
            </w:r>
            <w:r w:rsidRPr="002B2E78">
              <w:rPr>
                <w:rFonts w:ascii="Arial" w:hAnsi="Arial" w:cs="Arial"/>
                <w:b/>
                <w:bCs/>
                <w:sz w:val="20"/>
                <w:lang w:eastAsia="bg-BG"/>
              </w:rPr>
              <w:t xml:space="preserve"> </w:t>
            </w:r>
            <w:r w:rsidR="00481961">
              <w:rPr>
                <w:rFonts w:ascii="Arial" w:hAnsi="Arial" w:cs="Arial"/>
                <w:b/>
                <w:bCs/>
                <w:sz w:val="20"/>
                <w:lang w:eastAsia="bg-BG"/>
              </w:rPr>
              <w:t xml:space="preserve">  325</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2E93532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10 0</w:t>
            </w:r>
            <w:r w:rsidR="00C56F6C">
              <w:rPr>
                <w:rFonts w:ascii="Arial" w:hAnsi="Arial" w:cs="Arial"/>
                <w:b/>
                <w:bCs/>
                <w:sz w:val="20"/>
                <w:lang w:eastAsia="bg-BG"/>
              </w:rPr>
              <w:t>95</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453"/>
        <w:gridCol w:w="1974"/>
        <w:gridCol w:w="2030"/>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596EE36E"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0108E2">
              <w:rPr>
                <w:rFonts w:ascii="Arial" w:hAnsi="Arial" w:cs="Arial"/>
                <w:b/>
                <w:bCs/>
                <w:sz w:val="20"/>
                <w:lang w:eastAsia="bg-BG"/>
              </w:rPr>
              <w:t>1</w:t>
            </w:r>
            <w:r w:rsidRPr="002B2E78">
              <w:rPr>
                <w:rFonts w:ascii="Arial" w:hAnsi="Arial" w:cs="Arial"/>
                <w:b/>
                <w:bCs/>
                <w:sz w:val="20"/>
                <w:lang w:eastAsia="bg-BG"/>
              </w:rPr>
              <w:t>.</w:t>
            </w:r>
            <w:r w:rsidR="000108E2">
              <w:rPr>
                <w:rFonts w:ascii="Arial" w:hAnsi="Arial" w:cs="Arial"/>
                <w:b/>
                <w:bCs/>
                <w:sz w:val="20"/>
                <w:lang w:eastAsia="bg-BG"/>
              </w:rPr>
              <w:t>12</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0A73086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7FC1591D"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0108E2">
              <w:rPr>
                <w:rFonts w:ascii="Arial" w:hAnsi="Arial" w:cs="Arial"/>
                <w:sz w:val="20"/>
                <w:lang w:eastAsia="bg-BG"/>
              </w:rPr>
              <w:t>11</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47A3176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457DEE1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w:t>
            </w:r>
            <w:r w:rsidR="000108E2">
              <w:rPr>
                <w:rFonts w:ascii="Arial" w:hAnsi="Arial" w:cs="Arial"/>
                <w:b/>
                <w:bCs/>
                <w:sz w:val="20"/>
                <w:lang w:eastAsia="bg-BG"/>
              </w:rPr>
              <w:t>11</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75D6D9A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11</w:t>
            </w:r>
            <w:r w:rsidR="00D52583">
              <w:rPr>
                <w:rFonts w:ascii="Arial" w:hAnsi="Arial" w:cs="Arial"/>
                <w:b/>
                <w:bCs/>
                <w:sz w:val="20"/>
                <w:lang w:eastAsia="bg-BG"/>
              </w:rPr>
              <w:t>4</w:t>
            </w:r>
            <w:r w:rsidRPr="002B2E78">
              <w:rPr>
                <w:rFonts w:ascii="Arial" w:hAnsi="Arial" w:cs="Arial"/>
                <w:b/>
                <w:bCs/>
                <w:sz w:val="20"/>
                <w:lang w:eastAsia="bg-BG"/>
              </w:rPr>
              <w:t xml:space="preserve"> </w:t>
            </w:r>
          </w:p>
        </w:tc>
      </w:tr>
    </w:tbl>
    <w:p w14:paraId="20AB159F" w14:textId="4E4CAA82" w:rsidR="0073448A" w:rsidRDefault="0073448A" w:rsidP="00103DA2"/>
    <w:p w14:paraId="6F782C9B" w14:textId="77777777" w:rsidR="0073448A" w:rsidRPr="00B14C47" w:rsidRDefault="0073448A" w:rsidP="00103DA2">
      <w:pPr>
        <w:rPr>
          <w:lang w:val="en-US"/>
        </w:rPr>
      </w:pPr>
    </w:p>
    <w:p w14:paraId="28F4006C" w14:textId="1506644F" w:rsidR="000E4B4C" w:rsidRPr="00B14C47" w:rsidRDefault="00415A06" w:rsidP="00103DA2">
      <w:pPr>
        <w:rPr>
          <w:lang w:val="en-US"/>
        </w:rPr>
      </w:pPr>
      <w:r w:rsidRPr="00415A06">
        <w:rPr>
          <w:noProof/>
        </w:rPr>
        <w:drawing>
          <wp:inline distT="0" distB="0" distL="0" distR="0" wp14:anchorId="62DD9BB0" wp14:editId="2293B763">
            <wp:extent cx="6011545" cy="1853565"/>
            <wp:effectExtent l="0" t="0" r="8255" b="0"/>
            <wp:docPr id="577569782"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1545" cy="1853565"/>
                    </a:xfrm>
                    <a:prstGeom prst="rect">
                      <a:avLst/>
                    </a:prstGeom>
                    <a:noFill/>
                    <a:ln>
                      <a:noFill/>
                    </a:ln>
                  </pic:spPr>
                </pic:pic>
              </a:graphicData>
            </a:graphic>
          </wp:inline>
        </w:drawing>
      </w:r>
    </w:p>
    <w:p w14:paraId="33C0E542" w14:textId="20262E84" w:rsidR="00B44955" w:rsidRPr="00B14C47" w:rsidRDefault="00B44955" w:rsidP="00433ECF">
      <w:pPr>
        <w:rPr>
          <w:lang w:val="en-US"/>
        </w:rPr>
      </w:pPr>
    </w:p>
    <w:p w14:paraId="76AA2C80" w14:textId="77777777" w:rsidR="00433ECF" w:rsidRDefault="00433ECF" w:rsidP="00433ECF"/>
    <w:p w14:paraId="6FBD2631" w14:textId="77777777" w:rsidR="00415A06" w:rsidRDefault="00415A06" w:rsidP="00433ECF"/>
    <w:p w14:paraId="61353088" w14:textId="35B94D82" w:rsidR="00415A06" w:rsidRDefault="00415A06" w:rsidP="00433ECF">
      <w:r w:rsidRPr="00415A06">
        <w:rPr>
          <w:noProof/>
        </w:rPr>
        <w:lastRenderedPageBreak/>
        <w:drawing>
          <wp:inline distT="0" distB="0" distL="0" distR="0" wp14:anchorId="1DF6C2A8" wp14:editId="1BC37DAE">
            <wp:extent cx="6011545" cy="1561465"/>
            <wp:effectExtent l="0" t="0" r="8255" b="635"/>
            <wp:docPr id="417489080"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1545" cy="1561465"/>
                    </a:xfrm>
                    <a:prstGeom prst="rect">
                      <a:avLst/>
                    </a:prstGeom>
                    <a:noFill/>
                    <a:ln>
                      <a:noFill/>
                    </a:ln>
                  </pic:spPr>
                </pic:pic>
              </a:graphicData>
            </a:graphic>
          </wp:inline>
        </w:drawing>
      </w:r>
    </w:p>
    <w:p w14:paraId="00000B0A" w14:textId="77777777" w:rsidR="00415A06" w:rsidRPr="00415A06" w:rsidRDefault="00415A06" w:rsidP="00433ECF"/>
    <w:p w14:paraId="2D3AB09D" w14:textId="77777777" w:rsidR="00A0345D" w:rsidRPr="00415525" w:rsidRDefault="00B66DF8" w:rsidP="00B66DF8">
      <w:pPr>
        <w:pStyle w:val="Heading4"/>
        <w:rPr>
          <w:rFonts w:ascii="Arial" w:hAnsi="Arial" w:cs="Arial"/>
        </w:rPr>
      </w:pPr>
      <w:bookmarkStart w:id="136" w:name="_Toc247959188"/>
      <w:bookmarkStart w:id="137" w:name="_Toc195005029"/>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6"/>
      <w:bookmarkEnd w:id="137"/>
    </w:p>
    <w:p w14:paraId="5BA5170A" w14:textId="77777777" w:rsidR="009B160C" w:rsidRDefault="009B160C" w:rsidP="00D66436"/>
    <w:p w14:paraId="22E66718" w14:textId="1E0CAF40" w:rsidR="00415A06" w:rsidRDefault="004A29DB" w:rsidP="00D66436">
      <w:r w:rsidRPr="004A29DB">
        <w:rPr>
          <w:noProof/>
        </w:rPr>
        <w:drawing>
          <wp:inline distT="0" distB="0" distL="0" distR="0" wp14:anchorId="4E12C178" wp14:editId="3EDC21E2">
            <wp:extent cx="5133975" cy="1952625"/>
            <wp:effectExtent l="0" t="0" r="9525" b="9525"/>
            <wp:docPr id="205885409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975" cy="1952625"/>
                    </a:xfrm>
                    <a:prstGeom prst="rect">
                      <a:avLst/>
                    </a:prstGeom>
                    <a:noFill/>
                    <a:ln>
                      <a:noFill/>
                    </a:ln>
                  </pic:spPr>
                </pic:pic>
              </a:graphicData>
            </a:graphic>
          </wp:inline>
        </w:drawing>
      </w:r>
    </w:p>
    <w:p w14:paraId="6CD58CE3" w14:textId="77777777" w:rsidR="00415A06" w:rsidRDefault="00415A06" w:rsidP="00D66436"/>
    <w:p w14:paraId="6FB95A08" w14:textId="77777777" w:rsidR="00742F1D" w:rsidRDefault="007249BB" w:rsidP="007249BB">
      <w:pPr>
        <w:pStyle w:val="Heading4"/>
        <w:rPr>
          <w:rFonts w:ascii="Arial" w:hAnsi="Arial" w:cs="Arial"/>
          <w:lang w:val="bg-BG"/>
        </w:rPr>
      </w:pPr>
      <w:bookmarkStart w:id="138" w:name="_Toc195005030"/>
      <w:bookmarkStart w:id="13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38"/>
      <w:r w:rsidRPr="00B14C47">
        <w:rPr>
          <w:rFonts w:ascii="Arial" w:hAnsi="Arial" w:cs="Arial"/>
          <w:lang w:val="bg-BG"/>
        </w:rPr>
        <w:t xml:space="preserve"> </w:t>
      </w:r>
    </w:p>
    <w:p w14:paraId="6A3B573B" w14:textId="77777777" w:rsidR="00CD358A" w:rsidRPr="00CD358A" w:rsidRDefault="00CD358A" w:rsidP="00CD358A"/>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E60E4F3" w14:textId="77777777" w:rsidR="00CD358A" w:rsidRPr="009B2697" w:rsidRDefault="00CD358A" w:rsidP="003833F6">
      <w:pPr>
        <w:rPr>
          <w:rFonts w:ascii="Arial" w:hAnsi="Arial" w:cs="Arial"/>
          <w:color w:val="4472C4" w:themeColor="accent1"/>
          <w:lang w:val="en-US"/>
        </w:rPr>
      </w:pPr>
    </w:p>
    <w:p w14:paraId="1601F41A" w14:textId="0CA6722A" w:rsidR="00CD358A" w:rsidRDefault="00C0035A" w:rsidP="003833F6">
      <w:pPr>
        <w:rPr>
          <w:rFonts w:ascii="Arial" w:hAnsi="Arial" w:cs="Arial"/>
          <w:color w:val="4472C4" w:themeColor="accent1"/>
        </w:rPr>
      </w:pPr>
      <w:r w:rsidRPr="00C0035A">
        <w:rPr>
          <w:noProof/>
        </w:rPr>
        <w:drawing>
          <wp:inline distT="0" distB="0" distL="0" distR="0" wp14:anchorId="07BC1388" wp14:editId="3E32EA96">
            <wp:extent cx="6011545" cy="1493520"/>
            <wp:effectExtent l="0" t="0" r="8255" b="0"/>
            <wp:docPr id="706191704"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1545" cy="1493520"/>
                    </a:xfrm>
                    <a:prstGeom prst="rect">
                      <a:avLst/>
                    </a:prstGeom>
                    <a:noFill/>
                    <a:ln>
                      <a:noFill/>
                    </a:ln>
                  </pic:spPr>
                </pic:pic>
              </a:graphicData>
            </a:graphic>
          </wp:inline>
        </w:drawing>
      </w:r>
    </w:p>
    <w:p w14:paraId="353A395E" w14:textId="5F879F3C" w:rsidR="00B66DF8" w:rsidRPr="00B14C47" w:rsidRDefault="0076262B" w:rsidP="00B66DF8">
      <w:pPr>
        <w:pStyle w:val="Heading4"/>
        <w:rPr>
          <w:rFonts w:ascii="Arial" w:hAnsi="Arial" w:cs="Arial"/>
          <w:lang w:val="bg-BG"/>
        </w:rPr>
      </w:pPr>
      <w:bookmarkStart w:id="140" w:name="_Toc96871905"/>
      <w:bookmarkStart w:id="141" w:name="_Toc195005031"/>
      <w:bookmarkEnd w:id="139"/>
      <w:r w:rsidRPr="00B14C47">
        <w:rPr>
          <w:rFonts w:ascii="Arial" w:hAnsi="Arial" w:cs="Arial"/>
          <w:lang w:val="bg-BG"/>
        </w:rPr>
        <w:t>2.5.2.</w:t>
      </w:r>
      <w:r w:rsidR="000F643F" w:rsidRPr="00B14C47">
        <w:rPr>
          <w:rFonts w:ascii="Arial" w:hAnsi="Arial" w:cs="Arial"/>
          <w:lang w:val="bg-BG"/>
        </w:rPr>
        <w:t>Премии от емисии</w:t>
      </w:r>
      <w:bookmarkEnd w:id="140"/>
      <w:bookmarkEnd w:id="141"/>
    </w:p>
    <w:p w14:paraId="15B795EE" w14:textId="77777777" w:rsidR="000F643F" w:rsidRPr="00B14C47" w:rsidRDefault="000F643F" w:rsidP="000F643F">
      <w:pPr>
        <w:pStyle w:val="Heading4"/>
        <w:rPr>
          <w:rFonts w:ascii="Arial" w:hAnsi="Arial" w:cs="Arial"/>
          <w:b w:val="0"/>
          <w:i w:val="0"/>
          <w:color w:val="auto"/>
        </w:rPr>
      </w:pPr>
      <w:bookmarkStart w:id="142" w:name="_Toc4683420"/>
      <w:bookmarkStart w:id="143" w:name="_Toc4685314"/>
      <w:bookmarkStart w:id="144" w:name="_Toc4692208"/>
      <w:bookmarkStart w:id="145" w:name="_Toc62484362"/>
      <w:bookmarkStart w:id="146" w:name="_Toc67568182"/>
      <w:bookmarkStart w:id="147" w:name="_Toc96871906"/>
      <w:bookmarkStart w:id="148" w:name="_Toc129350898"/>
      <w:bookmarkStart w:id="149" w:name="_Toc160806742"/>
      <w:bookmarkStart w:id="150" w:name="_Toc195003908"/>
      <w:bookmarkStart w:id="151" w:name="_Toc195005032"/>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2"/>
      <w:bookmarkEnd w:id="143"/>
      <w:bookmarkEnd w:id="144"/>
      <w:bookmarkEnd w:id="145"/>
      <w:bookmarkEnd w:id="146"/>
      <w:bookmarkEnd w:id="147"/>
      <w:bookmarkEnd w:id="148"/>
      <w:bookmarkEnd w:id="149"/>
      <w:bookmarkEnd w:id="150"/>
      <w:bookmarkEnd w:id="151"/>
    </w:p>
    <w:p w14:paraId="3EFF8994" w14:textId="77777777" w:rsidR="00B66DF8" w:rsidRDefault="00B66DF8" w:rsidP="00B66DF8">
      <w:pPr>
        <w:pStyle w:val="Heading4"/>
        <w:rPr>
          <w:rFonts w:ascii="Arial" w:hAnsi="Arial" w:cs="Arial"/>
          <w:lang w:val="bg-BG"/>
        </w:rPr>
      </w:pPr>
      <w:bookmarkStart w:id="152" w:name="_Toc247959192"/>
      <w:bookmarkStart w:id="153" w:name="_Toc195005033"/>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2"/>
      <w:bookmarkEnd w:id="153"/>
    </w:p>
    <w:p w14:paraId="06323464" w14:textId="77777777" w:rsidR="00625628" w:rsidRDefault="00625628" w:rsidP="00625628"/>
    <w:p w14:paraId="4B228A93" w14:textId="77777777" w:rsidR="00625628" w:rsidRPr="00625628" w:rsidRDefault="00625628" w:rsidP="00625628"/>
    <w:p w14:paraId="7C6CB440" w14:textId="4FE484A0" w:rsidR="00874E27" w:rsidRDefault="00AF4474" w:rsidP="00874E27">
      <w:r w:rsidRPr="00AF4474">
        <w:rPr>
          <w:noProof/>
        </w:rPr>
        <w:lastRenderedPageBreak/>
        <w:drawing>
          <wp:inline distT="0" distB="0" distL="0" distR="0" wp14:anchorId="0C531446" wp14:editId="3E72A9AF">
            <wp:extent cx="4114800" cy="1800225"/>
            <wp:effectExtent l="0" t="0" r="0" b="9525"/>
            <wp:docPr id="401434665"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1800225"/>
                    </a:xfrm>
                    <a:prstGeom prst="rect">
                      <a:avLst/>
                    </a:prstGeom>
                    <a:noFill/>
                    <a:ln>
                      <a:noFill/>
                    </a:ln>
                  </pic:spPr>
                </pic:pic>
              </a:graphicData>
            </a:graphic>
          </wp:inline>
        </w:drawing>
      </w:r>
    </w:p>
    <w:p w14:paraId="208AAF57" w14:textId="77777777" w:rsidR="00CA29CF" w:rsidRPr="00AF4474" w:rsidRDefault="00CA29CF" w:rsidP="00C7797D"/>
    <w:p w14:paraId="2E988B0E" w14:textId="77777777" w:rsidR="00B66DF8" w:rsidRDefault="00B66DF8" w:rsidP="003833F6">
      <w:pPr>
        <w:pStyle w:val="Heading4"/>
        <w:rPr>
          <w:rFonts w:ascii="Arial" w:hAnsi="Arial" w:cs="Arial"/>
          <w:lang w:val="bg-BG"/>
        </w:rPr>
      </w:pPr>
      <w:bookmarkStart w:id="154" w:name="_Toc195005034"/>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4"/>
    </w:p>
    <w:p w14:paraId="108DDE2F" w14:textId="5E106444" w:rsidR="00D66436" w:rsidRDefault="00D66436" w:rsidP="00D66436"/>
    <w:p w14:paraId="259B5A9F" w14:textId="7AD42A8F" w:rsidR="00F4201D" w:rsidRDefault="00D12853" w:rsidP="00D66436">
      <w:r w:rsidRPr="00D12853">
        <w:rPr>
          <w:noProof/>
        </w:rPr>
        <w:drawing>
          <wp:inline distT="0" distB="0" distL="0" distR="0" wp14:anchorId="64899DFF" wp14:editId="5C1A5FA5">
            <wp:extent cx="5886450" cy="1495425"/>
            <wp:effectExtent l="0" t="0" r="0" b="9525"/>
            <wp:docPr id="631501514"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6450" cy="1495425"/>
                    </a:xfrm>
                    <a:prstGeom prst="rect">
                      <a:avLst/>
                    </a:prstGeom>
                    <a:noFill/>
                    <a:ln>
                      <a:noFill/>
                    </a:ln>
                  </pic:spPr>
                </pic:pic>
              </a:graphicData>
            </a:graphic>
          </wp:inline>
        </w:drawing>
      </w:r>
    </w:p>
    <w:p w14:paraId="35E37A6B" w14:textId="77777777" w:rsidR="00802B5D" w:rsidRDefault="00802B5D" w:rsidP="00D66436"/>
    <w:tbl>
      <w:tblPr>
        <w:tblW w:w="9521" w:type="dxa"/>
        <w:tblInd w:w="75" w:type="dxa"/>
        <w:tblCellMar>
          <w:left w:w="70" w:type="dxa"/>
          <w:right w:w="70" w:type="dxa"/>
        </w:tblCellMar>
        <w:tblLook w:val="04A0" w:firstRow="1" w:lastRow="0" w:firstColumn="1" w:lastColumn="0" w:noHBand="0" w:noVBand="1"/>
      </w:tblPr>
      <w:tblGrid>
        <w:gridCol w:w="1847"/>
        <w:gridCol w:w="4053"/>
        <w:gridCol w:w="3621"/>
      </w:tblGrid>
      <w:tr w:rsidR="00D12853" w:rsidRPr="009B160C" w14:paraId="100571F9" w14:textId="77777777" w:rsidTr="006C5C54">
        <w:trPr>
          <w:trHeight w:val="264"/>
        </w:trPr>
        <w:tc>
          <w:tcPr>
            <w:tcW w:w="9521" w:type="dxa"/>
            <w:gridSpan w:val="3"/>
            <w:tcBorders>
              <w:top w:val="single" w:sz="4" w:space="0" w:color="auto"/>
              <w:left w:val="single" w:sz="4" w:space="0" w:color="auto"/>
              <w:bottom w:val="single" w:sz="4" w:space="0" w:color="auto"/>
              <w:right w:val="single" w:sz="4" w:space="0" w:color="000000"/>
            </w:tcBorders>
            <w:noWrap/>
            <w:vAlign w:val="bottom"/>
            <w:hideMark/>
          </w:tcPr>
          <w:p w14:paraId="0FD2409D" w14:textId="77777777" w:rsidR="00D12853" w:rsidRPr="009B160C" w:rsidRDefault="00D12853" w:rsidP="006C5C54">
            <w:pPr>
              <w:jc w:val="left"/>
              <w:rPr>
                <w:rFonts w:ascii="Arial" w:hAnsi="Arial" w:cs="Arial"/>
                <w:b/>
                <w:bCs/>
                <w:sz w:val="20"/>
                <w:lang w:eastAsia="bg-BG"/>
              </w:rPr>
            </w:pPr>
            <w:r w:rsidRPr="009B160C">
              <w:rPr>
                <w:rFonts w:ascii="Arial" w:hAnsi="Arial" w:cs="Arial"/>
                <w:b/>
                <w:bCs/>
                <w:sz w:val="20"/>
                <w:lang w:eastAsia="bg-BG"/>
              </w:rPr>
              <w:t>Балансова стойност на текущи търговски и други задължения по валути (сумите са в BGN)</w:t>
            </w:r>
          </w:p>
        </w:tc>
      </w:tr>
      <w:tr w:rsidR="00D12853" w:rsidRPr="009B160C" w14:paraId="4F582095" w14:textId="77777777" w:rsidTr="006C5C54">
        <w:trPr>
          <w:trHeight w:val="264"/>
        </w:trPr>
        <w:tc>
          <w:tcPr>
            <w:tcW w:w="1847" w:type="dxa"/>
            <w:tcBorders>
              <w:top w:val="nil"/>
              <w:left w:val="single" w:sz="4" w:space="0" w:color="auto"/>
              <w:bottom w:val="single" w:sz="4" w:space="0" w:color="auto"/>
              <w:right w:val="nil"/>
            </w:tcBorders>
            <w:noWrap/>
            <w:vAlign w:val="bottom"/>
            <w:hideMark/>
          </w:tcPr>
          <w:p w14:paraId="3BF21401" w14:textId="77777777" w:rsidR="00D12853" w:rsidRPr="009B160C" w:rsidRDefault="00D12853" w:rsidP="006C5C54">
            <w:pPr>
              <w:jc w:val="left"/>
              <w:rPr>
                <w:rFonts w:ascii="Arial" w:hAnsi="Arial" w:cs="Arial"/>
                <w:b/>
                <w:bCs/>
                <w:sz w:val="20"/>
                <w:lang w:eastAsia="bg-BG"/>
              </w:rPr>
            </w:pPr>
            <w:r w:rsidRPr="009B160C">
              <w:rPr>
                <w:rFonts w:ascii="Arial" w:hAnsi="Arial" w:cs="Arial"/>
                <w:b/>
                <w:bCs/>
                <w:sz w:val="20"/>
                <w:lang w:eastAsia="bg-BG"/>
              </w:rPr>
              <w:t>Валута</w:t>
            </w:r>
          </w:p>
        </w:tc>
        <w:tc>
          <w:tcPr>
            <w:tcW w:w="4053" w:type="dxa"/>
            <w:tcBorders>
              <w:top w:val="nil"/>
              <w:left w:val="single" w:sz="4" w:space="0" w:color="auto"/>
              <w:bottom w:val="single" w:sz="4" w:space="0" w:color="auto"/>
              <w:right w:val="single" w:sz="4" w:space="0" w:color="auto"/>
            </w:tcBorders>
            <w:noWrap/>
            <w:vAlign w:val="bottom"/>
            <w:hideMark/>
          </w:tcPr>
          <w:p w14:paraId="50F64D31" w14:textId="06CF040B" w:rsidR="00D12853" w:rsidRPr="009B160C" w:rsidRDefault="00D12853" w:rsidP="006C5C54">
            <w:pPr>
              <w:jc w:val="center"/>
              <w:rPr>
                <w:rFonts w:ascii="Arial" w:hAnsi="Arial" w:cs="Arial"/>
                <w:b/>
                <w:bCs/>
                <w:sz w:val="20"/>
                <w:lang w:eastAsia="bg-BG"/>
              </w:rPr>
            </w:pPr>
            <w:r w:rsidRPr="009B160C">
              <w:rPr>
                <w:rFonts w:ascii="Arial" w:hAnsi="Arial" w:cs="Arial"/>
                <w:b/>
                <w:bCs/>
                <w:sz w:val="20"/>
                <w:lang w:eastAsia="bg-BG"/>
              </w:rPr>
              <w:t>3</w:t>
            </w:r>
            <w:r w:rsidR="007A3C00">
              <w:rPr>
                <w:rFonts w:ascii="Arial" w:hAnsi="Arial" w:cs="Arial"/>
                <w:b/>
                <w:bCs/>
                <w:sz w:val="20"/>
                <w:lang w:eastAsia="bg-BG"/>
              </w:rPr>
              <w:t>1</w:t>
            </w:r>
            <w:r w:rsidRPr="009B160C">
              <w:rPr>
                <w:rFonts w:ascii="Arial" w:hAnsi="Arial" w:cs="Arial"/>
                <w:b/>
                <w:bCs/>
                <w:sz w:val="20"/>
                <w:lang w:eastAsia="bg-BG"/>
              </w:rPr>
              <w:t>.</w:t>
            </w:r>
            <w:r w:rsidR="007A3C00">
              <w:rPr>
                <w:rFonts w:ascii="Arial" w:hAnsi="Arial" w:cs="Arial"/>
                <w:b/>
                <w:bCs/>
                <w:sz w:val="20"/>
                <w:lang w:eastAsia="bg-BG"/>
              </w:rPr>
              <w:t>12</w:t>
            </w:r>
            <w:r w:rsidRPr="009B160C">
              <w:rPr>
                <w:rFonts w:ascii="Arial" w:hAnsi="Arial" w:cs="Arial"/>
                <w:b/>
                <w:bCs/>
                <w:sz w:val="20"/>
                <w:lang w:eastAsia="bg-BG"/>
              </w:rPr>
              <w:t>.202</w:t>
            </w:r>
            <w:r>
              <w:rPr>
                <w:rFonts w:ascii="Arial" w:hAnsi="Arial" w:cs="Arial"/>
                <w:b/>
                <w:bCs/>
                <w:sz w:val="20"/>
                <w:lang w:val="en-US" w:eastAsia="bg-BG"/>
              </w:rPr>
              <w:t>5</w:t>
            </w:r>
            <w:r w:rsidRPr="009B160C">
              <w:rPr>
                <w:rFonts w:ascii="Arial" w:hAnsi="Arial" w:cs="Arial"/>
                <w:b/>
                <w:bCs/>
                <w:sz w:val="20"/>
                <w:lang w:eastAsia="bg-BG"/>
              </w:rPr>
              <w:t xml:space="preserve"> г.</w:t>
            </w:r>
          </w:p>
        </w:tc>
        <w:tc>
          <w:tcPr>
            <w:tcW w:w="3621" w:type="dxa"/>
            <w:tcBorders>
              <w:top w:val="nil"/>
              <w:left w:val="nil"/>
              <w:bottom w:val="single" w:sz="4" w:space="0" w:color="auto"/>
              <w:right w:val="single" w:sz="4" w:space="0" w:color="auto"/>
            </w:tcBorders>
            <w:noWrap/>
            <w:vAlign w:val="bottom"/>
            <w:hideMark/>
          </w:tcPr>
          <w:p w14:paraId="13FC410C" w14:textId="77777777" w:rsidR="00D12853" w:rsidRPr="009B160C" w:rsidRDefault="00D12853" w:rsidP="006C5C54">
            <w:pPr>
              <w:jc w:val="center"/>
              <w:rPr>
                <w:rFonts w:ascii="Arial" w:hAnsi="Arial" w:cs="Arial"/>
                <w:b/>
                <w:bCs/>
                <w:sz w:val="20"/>
                <w:lang w:eastAsia="bg-BG"/>
              </w:rPr>
            </w:pPr>
            <w:r w:rsidRPr="009B160C">
              <w:rPr>
                <w:rFonts w:ascii="Arial" w:hAnsi="Arial" w:cs="Arial"/>
                <w:b/>
                <w:bCs/>
                <w:sz w:val="20"/>
                <w:lang w:eastAsia="bg-BG"/>
              </w:rPr>
              <w:t>31.12.202</w:t>
            </w:r>
            <w:r>
              <w:rPr>
                <w:rFonts w:ascii="Arial" w:hAnsi="Arial" w:cs="Arial"/>
                <w:b/>
                <w:bCs/>
                <w:sz w:val="20"/>
                <w:lang w:val="en-US" w:eastAsia="bg-BG"/>
              </w:rPr>
              <w:t>4</w:t>
            </w:r>
            <w:r w:rsidRPr="009B160C">
              <w:rPr>
                <w:rFonts w:ascii="Arial" w:hAnsi="Arial" w:cs="Arial"/>
                <w:b/>
                <w:bCs/>
                <w:sz w:val="20"/>
                <w:lang w:eastAsia="bg-BG"/>
              </w:rPr>
              <w:t xml:space="preserve"> г.</w:t>
            </w:r>
          </w:p>
        </w:tc>
      </w:tr>
      <w:tr w:rsidR="00D12853" w:rsidRPr="009B160C" w14:paraId="3C081ADD" w14:textId="77777777" w:rsidTr="006C5C54">
        <w:trPr>
          <w:trHeight w:val="264"/>
        </w:trPr>
        <w:tc>
          <w:tcPr>
            <w:tcW w:w="1847" w:type="dxa"/>
            <w:tcBorders>
              <w:top w:val="nil"/>
              <w:left w:val="single" w:sz="4" w:space="0" w:color="auto"/>
              <w:bottom w:val="single" w:sz="4" w:space="0" w:color="auto"/>
              <w:right w:val="nil"/>
            </w:tcBorders>
            <w:noWrap/>
            <w:vAlign w:val="bottom"/>
            <w:hideMark/>
          </w:tcPr>
          <w:p w14:paraId="02E6C8F4" w14:textId="77777777" w:rsidR="00D12853" w:rsidRPr="009B160C" w:rsidRDefault="00D12853" w:rsidP="006C5C54">
            <w:pPr>
              <w:jc w:val="left"/>
              <w:rPr>
                <w:rFonts w:ascii="Arial" w:hAnsi="Arial" w:cs="Arial"/>
                <w:sz w:val="20"/>
                <w:lang w:eastAsia="bg-BG"/>
              </w:rPr>
            </w:pPr>
            <w:r w:rsidRPr="009B160C">
              <w:rPr>
                <w:rFonts w:ascii="Arial" w:hAnsi="Arial" w:cs="Arial"/>
                <w:sz w:val="20"/>
                <w:lang w:eastAsia="bg-BG"/>
              </w:rPr>
              <w:t>BGN</w:t>
            </w:r>
          </w:p>
        </w:tc>
        <w:tc>
          <w:tcPr>
            <w:tcW w:w="4053" w:type="dxa"/>
            <w:tcBorders>
              <w:top w:val="nil"/>
              <w:left w:val="single" w:sz="4" w:space="0" w:color="auto"/>
              <w:bottom w:val="single" w:sz="4" w:space="0" w:color="auto"/>
              <w:right w:val="single" w:sz="4" w:space="0" w:color="auto"/>
            </w:tcBorders>
            <w:noWrap/>
            <w:vAlign w:val="bottom"/>
            <w:hideMark/>
          </w:tcPr>
          <w:p w14:paraId="6AB7DD6E" w14:textId="07ED0A31" w:rsidR="00D12853" w:rsidRPr="009B160C" w:rsidRDefault="00D12853" w:rsidP="006C5C54">
            <w:pPr>
              <w:jc w:val="left"/>
              <w:rPr>
                <w:rFonts w:ascii="Arial" w:hAnsi="Arial" w:cs="Arial"/>
                <w:sz w:val="20"/>
                <w:lang w:eastAsia="bg-BG"/>
              </w:rPr>
            </w:pPr>
            <w:r w:rsidRPr="009B160C">
              <w:rPr>
                <w:rFonts w:ascii="Arial" w:hAnsi="Arial" w:cs="Arial"/>
                <w:sz w:val="20"/>
                <w:lang w:eastAsia="bg-BG"/>
              </w:rPr>
              <w:t xml:space="preserve">                        </w:t>
            </w:r>
            <w:r w:rsidR="007A3C00">
              <w:rPr>
                <w:rFonts w:ascii="Arial" w:hAnsi="Arial" w:cs="Arial"/>
                <w:sz w:val="20"/>
                <w:lang w:eastAsia="bg-BG"/>
              </w:rPr>
              <w:t>26</w:t>
            </w:r>
            <w:r w:rsidRPr="009B160C">
              <w:rPr>
                <w:rFonts w:ascii="Arial" w:hAnsi="Arial" w:cs="Arial"/>
                <w:sz w:val="20"/>
                <w:lang w:eastAsia="bg-BG"/>
              </w:rPr>
              <w:t xml:space="preserve"> </w:t>
            </w:r>
          </w:p>
        </w:tc>
        <w:tc>
          <w:tcPr>
            <w:tcW w:w="3621" w:type="dxa"/>
            <w:tcBorders>
              <w:top w:val="nil"/>
              <w:left w:val="nil"/>
              <w:bottom w:val="single" w:sz="4" w:space="0" w:color="auto"/>
              <w:right w:val="single" w:sz="4" w:space="0" w:color="auto"/>
            </w:tcBorders>
            <w:noWrap/>
            <w:vAlign w:val="bottom"/>
            <w:hideMark/>
          </w:tcPr>
          <w:p w14:paraId="2AB6A5EC" w14:textId="77777777" w:rsidR="00D12853" w:rsidRPr="009B160C" w:rsidRDefault="00D12853" w:rsidP="006C5C54">
            <w:pPr>
              <w:jc w:val="left"/>
              <w:rPr>
                <w:rFonts w:ascii="Arial" w:hAnsi="Arial" w:cs="Arial"/>
                <w:sz w:val="20"/>
                <w:lang w:eastAsia="bg-BG"/>
              </w:rPr>
            </w:pPr>
            <w:r w:rsidRPr="009B160C">
              <w:rPr>
                <w:rFonts w:ascii="Arial" w:hAnsi="Arial" w:cs="Arial"/>
                <w:sz w:val="20"/>
                <w:lang w:eastAsia="bg-BG"/>
              </w:rPr>
              <w:t xml:space="preserve">                     3</w:t>
            </w:r>
            <w:r>
              <w:rPr>
                <w:rFonts w:ascii="Arial" w:hAnsi="Arial" w:cs="Arial"/>
                <w:sz w:val="20"/>
                <w:lang w:val="en-US" w:eastAsia="bg-BG"/>
              </w:rPr>
              <w:t>9</w:t>
            </w:r>
            <w:r w:rsidRPr="009B160C">
              <w:rPr>
                <w:rFonts w:ascii="Arial" w:hAnsi="Arial" w:cs="Arial"/>
                <w:sz w:val="20"/>
                <w:lang w:eastAsia="bg-BG"/>
              </w:rPr>
              <w:t xml:space="preserve"> </w:t>
            </w:r>
          </w:p>
        </w:tc>
      </w:tr>
      <w:tr w:rsidR="00D12853" w:rsidRPr="009B160C" w14:paraId="52369F2F" w14:textId="77777777" w:rsidTr="006C5C54">
        <w:trPr>
          <w:trHeight w:val="264"/>
        </w:trPr>
        <w:tc>
          <w:tcPr>
            <w:tcW w:w="1847" w:type="dxa"/>
            <w:tcBorders>
              <w:top w:val="nil"/>
              <w:left w:val="single" w:sz="4" w:space="0" w:color="auto"/>
              <w:bottom w:val="single" w:sz="4" w:space="0" w:color="auto"/>
              <w:right w:val="nil"/>
            </w:tcBorders>
            <w:shd w:val="clear" w:color="000000" w:fill="00AEEF"/>
            <w:noWrap/>
            <w:vAlign w:val="bottom"/>
            <w:hideMark/>
          </w:tcPr>
          <w:p w14:paraId="1DFB58BE" w14:textId="77777777" w:rsidR="00D12853" w:rsidRPr="009B160C" w:rsidRDefault="00D12853" w:rsidP="006C5C54">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4053" w:type="dxa"/>
            <w:tcBorders>
              <w:top w:val="nil"/>
              <w:left w:val="single" w:sz="4" w:space="0" w:color="auto"/>
              <w:bottom w:val="single" w:sz="4" w:space="0" w:color="auto"/>
              <w:right w:val="single" w:sz="4" w:space="0" w:color="auto"/>
            </w:tcBorders>
            <w:shd w:val="clear" w:color="000000" w:fill="00AEEF"/>
            <w:noWrap/>
            <w:vAlign w:val="bottom"/>
            <w:hideMark/>
          </w:tcPr>
          <w:p w14:paraId="4E883D4D" w14:textId="7BEFD12C" w:rsidR="00D12853" w:rsidRPr="009B160C" w:rsidRDefault="00D12853" w:rsidP="006C5C54">
            <w:pPr>
              <w:jc w:val="left"/>
              <w:rPr>
                <w:rFonts w:ascii="Arial" w:hAnsi="Arial" w:cs="Arial"/>
                <w:b/>
                <w:bCs/>
                <w:sz w:val="20"/>
                <w:lang w:eastAsia="bg-BG"/>
              </w:rPr>
            </w:pPr>
            <w:r w:rsidRPr="009B160C">
              <w:rPr>
                <w:rFonts w:ascii="Arial" w:hAnsi="Arial" w:cs="Arial"/>
                <w:b/>
                <w:bCs/>
                <w:sz w:val="20"/>
                <w:lang w:eastAsia="bg-BG"/>
              </w:rPr>
              <w:t xml:space="preserve">                        </w:t>
            </w:r>
            <w:r w:rsidR="007A3C00">
              <w:rPr>
                <w:rFonts w:ascii="Arial" w:hAnsi="Arial" w:cs="Arial"/>
                <w:b/>
                <w:bCs/>
                <w:sz w:val="20"/>
                <w:lang w:eastAsia="bg-BG"/>
              </w:rPr>
              <w:t>26</w:t>
            </w:r>
            <w:r w:rsidRPr="009B160C">
              <w:rPr>
                <w:rFonts w:ascii="Arial" w:hAnsi="Arial" w:cs="Arial"/>
                <w:b/>
                <w:bCs/>
                <w:sz w:val="20"/>
                <w:lang w:eastAsia="bg-BG"/>
              </w:rPr>
              <w:t xml:space="preserve"> </w:t>
            </w:r>
          </w:p>
        </w:tc>
        <w:tc>
          <w:tcPr>
            <w:tcW w:w="3621" w:type="dxa"/>
            <w:tcBorders>
              <w:top w:val="nil"/>
              <w:left w:val="nil"/>
              <w:bottom w:val="single" w:sz="4" w:space="0" w:color="auto"/>
              <w:right w:val="single" w:sz="4" w:space="0" w:color="auto"/>
            </w:tcBorders>
            <w:shd w:val="clear" w:color="000000" w:fill="00AEEF"/>
            <w:noWrap/>
            <w:vAlign w:val="bottom"/>
            <w:hideMark/>
          </w:tcPr>
          <w:p w14:paraId="5BA4895D" w14:textId="77777777" w:rsidR="00D12853" w:rsidRPr="009B160C" w:rsidRDefault="00D12853" w:rsidP="006C5C54">
            <w:pPr>
              <w:jc w:val="left"/>
              <w:rPr>
                <w:rFonts w:ascii="Arial" w:hAnsi="Arial" w:cs="Arial"/>
                <w:b/>
                <w:bCs/>
                <w:sz w:val="20"/>
                <w:lang w:eastAsia="bg-BG"/>
              </w:rPr>
            </w:pPr>
            <w:r w:rsidRPr="009B160C">
              <w:rPr>
                <w:rFonts w:ascii="Arial" w:hAnsi="Arial" w:cs="Arial"/>
                <w:b/>
                <w:bCs/>
                <w:sz w:val="20"/>
                <w:lang w:eastAsia="bg-BG"/>
              </w:rPr>
              <w:t xml:space="preserve">                     3</w:t>
            </w:r>
            <w:r>
              <w:rPr>
                <w:rFonts w:ascii="Arial" w:hAnsi="Arial" w:cs="Arial"/>
                <w:b/>
                <w:bCs/>
                <w:sz w:val="20"/>
                <w:lang w:val="en-US" w:eastAsia="bg-BG"/>
              </w:rPr>
              <w:t>9</w:t>
            </w:r>
            <w:r w:rsidRPr="009B160C">
              <w:rPr>
                <w:rFonts w:ascii="Arial" w:hAnsi="Arial" w:cs="Arial"/>
                <w:b/>
                <w:bCs/>
                <w:sz w:val="20"/>
                <w:lang w:eastAsia="bg-BG"/>
              </w:rPr>
              <w:t xml:space="preserve"> </w:t>
            </w:r>
          </w:p>
        </w:tc>
      </w:tr>
    </w:tbl>
    <w:p w14:paraId="63635C9B" w14:textId="77777777" w:rsidR="00D12853" w:rsidRDefault="00D12853" w:rsidP="00D66436"/>
    <w:p w14:paraId="76F7C816" w14:textId="77777777" w:rsidR="00D12853" w:rsidRDefault="00D12853" w:rsidP="00D66436"/>
    <w:p w14:paraId="02E07409" w14:textId="77777777" w:rsidR="002571A2" w:rsidRDefault="00B66DF8" w:rsidP="0076262B">
      <w:pPr>
        <w:pStyle w:val="Heading4"/>
        <w:rPr>
          <w:rFonts w:ascii="Arial" w:hAnsi="Arial" w:cs="Arial"/>
          <w:lang w:val="bg-BG"/>
        </w:rPr>
      </w:pPr>
      <w:bookmarkStart w:id="155" w:name="_Toc247959198"/>
      <w:bookmarkStart w:id="156" w:name="_Toc195005035"/>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17"/>
        <w:gridCol w:w="2070"/>
        <w:gridCol w:w="2070"/>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0A85B7D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52883">
              <w:rPr>
                <w:rFonts w:ascii="Arial" w:hAnsi="Arial" w:cs="Arial"/>
                <w:b/>
                <w:bCs/>
                <w:sz w:val="20"/>
                <w:lang w:eastAsia="bg-BG"/>
              </w:rPr>
              <w:t>1</w:t>
            </w:r>
            <w:r w:rsidRPr="009B160C">
              <w:rPr>
                <w:rFonts w:ascii="Arial" w:hAnsi="Arial" w:cs="Arial"/>
                <w:b/>
                <w:bCs/>
                <w:sz w:val="20"/>
                <w:lang w:eastAsia="bg-BG"/>
              </w:rPr>
              <w:t>.</w:t>
            </w:r>
            <w:r w:rsidR="00F52883">
              <w:rPr>
                <w:rFonts w:ascii="Arial" w:hAnsi="Arial" w:cs="Arial"/>
                <w:b/>
                <w:bCs/>
                <w:sz w:val="20"/>
                <w:lang w:eastAsia="bg-BG"/>
              </w:rPr>
              <w:t>12</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10E944A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5F5A931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52883">
              <w:rPr>
                <w:rFonts w:ascii="Arial" w:hAnsi="Arial" w:cs="Arial"/>
                <w:sz w:val="20"/>
                <w:lang w:eastAsia="bg-BG"/>
              </w:rPr>
              <w:t>342</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2F8006E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225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464B63D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52883">
              <w:rPr>
                <w:rFonts w:ascii="Arial" w:hAnsi="Arial" w:cs="Arial"/>
                <w:b/>
                <w:bCs/>
                <w:sz w:val="20"/>
                <w:lang w:eastAsia="bg-BG"/>
              </w:rPr>
              <w:t>342</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02CA2FA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28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0F5A5F7A"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52883">
              <w:rPr>
                <w:rFonts w:ascii="Arial" w:hAnsi="Arial" w:cs="Arial"/>
                <w:b/>
                <w:bCs/>
                <w:sz w:val="20"/>
                <w:lang w:eastAsia="bg-BG"/>
              </w:rPr>
              <w:t>1</w:t>
            </w:r>
            <w:r w:rsidRPr="009B160C">
              <w:rPr>
                <w:rFonts w:ascii="Arial" w:hAnsi="Arial" w:cs="Arial"/>
                <w:b/>
                <w:bCs/>
                <w:sz w:val="20"/>
                <w:lang w:eastAsia="bg-BG"/>
              </w:rPr>
              <w:t>.</w:t>
            </w:r>
            <w:r w:rsidR="00F52883">
              <w:rPr>
                <w:rFonts w:ascii="Arial" w:hAnsi="Arial" w:cs="Arial"/>
                <w:b/>
                <w:bCs/>
                <w:sz w:val="20"/>
                <w:lang w:eastAsia="bg-BG"/>
              </w:rPr>
              <w:t>12</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EAC536F"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7CDC213B"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52883">
              <w:rPr>
                <w:rFonts w:ascii="Arial" w:hAnsi="Arial" w:cs="Arial"/>
                <w:sz w:val="20"/>
                <w:lang w:eastAsia="bg-BG"/>
              </w:rPr>
              <w:t>305</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520185B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FA6D0C">
              <w:rPr>
                <w:rFonts w:ascii="Arial" w:hAnsi="Arial" w:cs="Arial"/>
                <w:sz w:val="20"/>
                <w:lang w:val="en-US" w:eastAsia="bg-BG"/>
              </w:rPr>
              <w:t>8</w:t>
            </w:r>
            <w:r w:rsidR="004F77F3">
              <w:rPr>
                <w:rFonts w:ascii="Arial" w:hAnsi="Arial" w:cs="Arial"/>
                <w:sz w:val="20"/>
                <w:lang w:eastAsia="bg-BG"/>
              </w:rPr>
              <w:t>8</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403DF529"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52883">
              <w:rPr>
                <w:rFonts w:ascii="Arial" w:hAnsi="Arial" w:cs="Arial"/>
                <w:b/>
                <w:bCs/>
                <w:sz w:val="20"/>
                <w:lang w:eastAsia="bg-BG"/>
              </w:rPr>
              <w:t>342</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07D0D36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175"/>
        <w:gridCol w:w="2141"/>
        <w:gridCol w:w="2141"/>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0233D226"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w:t>
            </w:r>
            <w:r w:rsidR="00F52883">
              <w:rPr>
                <w:rFonts w:ascii="Arial" w:hAnsi="Arial" w:cs="Arial"/>
                <w:b/>
                <w:bCs/>
                <w:sz w:val="20"/>
                <w:lang w:eastAsia="bg-BG"/>
              </w:rPr>
              <w:t>1</w:t>
            </w:r>
            <w:r w:rsidRPr="006E3286">
              <w:rPr>
                <w:rFonts w:ascii="Arial" w:hAnsi="Arial" w:cs="Arial"/>
                <w:b/>
                <w:bCs/>
                <w:sz w:val="20"/>
                <w:lang w:eastAsia="bg-BG"/>
              </w:rPr>
              <w:t>.</w:t>
            </w:r>
            <w:r w:rsidR="00F52883">
              <w:rPr>
                <w:rFonts w:ascii="Arial" w:hAnsi="Arial" w:cs="Arial"/>
                <w:b/>
                <w:bCs/>
                <w:sz w:val="20"/>
                <w:lang w:eastAsia="bg-BG"/>
              </w:rPr>
              <w:t>12</w:t>
            </w:r>
            <w:r w:rsidRPr="006E3286">
              <w:rPr>
                <w:rFonts w:ascii="Arial" w:hAnsi="Arial" w:cs="Arial"/>
                <w:b/>
                <w:bCs/>
                <w:sz w:val="20"/>
                <w:lang w:eastAsia="bg-BG"/>
              </w:rPr>
              <w:t>.202</w:t>
            </w:r>
            <w:r w:rsidR="00FA6D0C">
              <w:rPr>
                <w:rFonts w:ascii="Arial" w:hAnsi="Arial" w:cs="Arial"/>
                <w:b/>
                <w:bCs/>
                <w:sz w:val="20"/>
                <w:lang w:val="en-US" w:eastAsia="bg-BG"/>
              </w:rPr>
              <w:t>5</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46135E9A"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FA6D0C">
              <w:rPr>
                <w:rFonts w:ascii="Arial" w:hAnsi="Arial" w:cs="Arial"/>
                <w:b/>
                <w:bCs/>
                <w:sz w:val="20"/>
                <w:lang w:val="en-US" w:eastAsia="bg-BG"/>
              </w:rPr>
              <w:t>4</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0398CB6D"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4201D">
              <w:rPr>
                <w:rFonts w:ascii="Arial" w:hAnsi="Arial" w:cs="Arial"/>
                <w:b/>
                <w:bCs/>
                <w:sz w:val="20"/>
                <w:lang w:eastAsia="bg-BG"/>
              </w:rPr>
              <w:t>1</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6C31EC2A"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17</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17C0D9D6"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2E38A811"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val="en-US" w:eastAsia="bg-BG"/>
              </w:rPr>
              <w:t>5</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12712F3A"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2E2B0E30"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2</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lastRenderedPageBreak/>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40093D01" w:rsidR="00476CAF" w:rsidRPr="006E3286" w:rsidRDefault="00476CAF" w:rsidP="00A55AC8">
            <w:pPr>
              <w:jc w:val="right"/>
              <w:rPr>
                <w:rFonts w:ascii="Arial" w:hAnsi="Arial" w:cs="Arial"/>
                <w:b/>
                <w:bCs/>
                <w:sz w:val="20"/>
                <w:lang w:eastAsia="bg-BG"/>
              </w:rPr>
            </w:pPr>
            <w:r>
              <w:rPr>
                <w:rFonts w:ascii="Arial" w:hAnsi="Arial" w:cs="Arial"/>
                <w:b/>
                <w:bCs/>
                <w:sz w:val="20"/>
                <w:lang w:eastAsia="bg-BG"/>
              </w:rPr>
              <w:t>6</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6536DD32"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6</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417C98B6"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5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57F05928"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22E13681"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1</w:t>
            </w: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0D490DCE"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2</w:t>
            </w:r>
            <w:r w:rsidR="00F52883">
              <w:rPr>
                <w:rFonts w:ascii="Arial" w:hAnsi="Arial" w:cs="Arial"/>
                <w:b/>
                <w:bCs/>
                <w:sz w:val="20"/>
                <w:lang w:eastAsia="bg-BG"/>
              </w:rPr>
              <w:t>98</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0B9670E3"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FA6D0C">
              <w:rPr>
                <w:rFonts w:ascii="Arial" w:hAnsi="Arial" w:cs="Arial"/>
                <w:b/>
                <w:bCs/>
                <w:sz w:val="20"/>
                <w:lang w:eastAsia="bg-BG"/>
              </w:rPr>
              <w:t>65</w:t>
            </w:r>
            <w:r w:rsidRPr="006E3286">
              <w:rPr>
                <w:rFonts w:ascii="Arial" w:hAnsi="Arial" w:cs="Arial"/>
                <w:b/>
                <w:bCs/>
                <w:sz w:val="20"/>
                <w:lang w:eastAsia="bg-BG"/>
              </w:rPr>
              <w:t xml:space="preserve"> </w:t>
            </w:r>
          </w:p>
        </w:tc>
      </w:tr>
      <w:tr w:rsidR="00476CAF" w:rsidRPr="006E3286" w14:paraId="199425FB"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1575EA01" w:rsidR="00476CAF" w:rsidRPr="00D75C5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4201D">
              <w:rPr>
                <w:rFonts w:ascii="Arial" w:hAnsi="Arial" w:cs="Arial"/>
                <w:sz w:val="20"/>
                <w:lang w:eastAsia="bg-BG"/>
              </w:rPr>
              <w:t>2</w:t>
            </w:r>
            <w:r w:rsidR="00F52883">
              <w:rPr>
                <w:rFonts w:ascii="Arial" w:hAnsi="Arial" w:cs="Arial"/>
                <w:sz w:val="20"/>
                <w:lang w:eastAsia="bg-BG"/>
              </w:rPr>
              <w:t>76</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70F0ED63"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eastAsia="bg-BG"/>
              </w:rPr>
              <w:t>50</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52F78933" w:rsidR="00476CAF" w:rsidRPr="00476CA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4201D">
              <w:rPr>
                <w:rFonts w:ascii="Arial" w:hAnsi="Arial" w:cs="Arial"/>
                <w:sz w:val="20"/>
                <w:lang w:eastAsia="bg-BG"/>
              </w:rPr>
              <w:t>2</w:t>
            </w:r>
            <w:r w:rsidR="00F52883">
              <w:rPr>
                <w:rFonts w:ascii="Arial" w:hAnsi="Arial" w:cs="Arial"/>
                <w:sz w:val="20"/>
                <w:lang w:eastAsia="bg-BG"/>
              </w:rPr>
              <w:t>2</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74DAB928"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165FF03E" w:rsidR="00476CAF" w:rsidRPr="00F52883"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 xml:space="preserve"> </w:t>
            </w:r>
            <w:r w:rsidR="00F52883">
              <w:rPr>
                <w:rFonts w:ascii="Arial" w:hAnsi="Arial" w:cs="Arial"/>
                <w:b/>
                <w:bCs/>
                <w:sz w:val="20"/>
                <w:lang w:eastAsia="bg-BG"/>
              </w:rPr>
              <w:t>305</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137CCD6D" w:rsidR="00476CAF" w:rsidRPr="00FA6D0C" w:rsidRDefault="00476CAF" w:rsidP="00476CAF">
            <w:pPr>
              <w:jc w:val="center"/>
              <w:rPr>
                <w:rFonts w:ascii="Arial" w:hAnsi="Arial" w:cs="Arial"/>
                <w:b/>
                <w:bCs/>
                <w:sz w:val="20"/>
                <w:lang w:val="en-US" w:eastAsia="bg-BG"/>
              </w:rPr>
            </w:pPr>
            <w:r w:rsidRPr="006E3286">
              <w:rPr>
                <w:rFonts w:ascii="Arial" w:hAnsi="Arial" w:cs="Arial"/>
                <w:b/>
                <w:bCs/>
                <w:sz w:val="20"/>
                <w:lang w:eastAsia="bg-BG"/>
              </w:rPr>
              <w:t xml:space="preserve">                            1</w:t>
            </w:r>
            <w:r w:rsidR="00FA6D0C">
              <w:rPr>
                <w:rFonts w:ascii="Arial" w:hAnsi="Arial" w:cs="Arial"/>
                <w:b/>
                <w:bCs/>
                <w:sz w:val="20"/>
                <w:lang w:val="en-US" w:eastAsia="bg-BG"/>
              </w:rPr>
              <w:t>88</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28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24A2E162"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52883">
              <w:rPr>
                <w:rFonts w:ascii="Arial" w:hAnsi="Arial" w:cs="Arial"/>
                <w:b/>
                <w:bCs/>
                <w:sz w:val="20"/>
                <w:lang w:eastAsia="bg-BG"/>
              </w:rPr>
              <w:t>1</w:t>
            </w:r>
            <w:r w:rsidRPr="00B16EA3">
              <w:rPr>
                <w:rFonts w:ascii="Arial" w:hAnsi="Arial" w:cs="Arial"/>
                <w:b/>
                <w:bCs/>
                <w:sz w:val="20"/>
                <w:lang w:eastAsia="bg-BG"/>
              </w:rPr>
              <w:t>.</w:t>
            </w:r>
            <w:r w:rsidR="00F52883">
              <w:rPr>
                <w:rFonts w:ascii="Arial" w:hAnsi="Arial" w:cs="Arial"/>
                <w:b/>
                <w:bCs/>
                <w:sz w:val="20"/>
                <w:lang w:eastAsia="bg-BG"/>
              </w:rPr>
              <w:t>12</w:t>
            </w:r>
            <w:r w:rsidRPr="00B16EA3">
              <w:rPr>
                <w:rFonts w:ascii="Arial" w:hAnsi="Arial" w:cs="Arial"/>
                <w:b/>
                <w:bCs/>
                <w:sz w:val="20"/>
                <w:lang w:eastAsia="bg-BG"/>
              </w:rPr>
              <w:t>.202</w:t>
            </w:r>
            <w:r w:rsidR="00FA6D0C">
              <w:rPr>
                <w:rFonts w:ascii="Arial" w:hAnsi="Arial" w:cs="Arial"/>
                <w:b/>
                <w:bCs/>
                <w:sz w:val="20"/>
                <w:lang w:eastAsia="bg-BG"/>
              </w:rPr>
              <w:t>5</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1EB6CB6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77777777"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bl>
    <w:p w14:paraId="0B3467F8" w14:textId="77777777" w:rsidR="00B16EA3" w:rsidRDefault="00B16EA3" w:rsidP="00B16EA3"/>
    <w:tbl>
      <w:tblPr>
        <w:tblW w:w="5000" w:type="pct"/>
        <w:tblCellMar>
          <w:left w:w="70" w:type="dxa"/>
          <w:right w:w="70" w:type="dxa"/>
        </w:tblCellMar>
        <w:tblLook w:val="04A0" w:firstRow="1" w:lastRow="0" w:firstColumn="1" w:lastColumn="0" w:noHBand="0" w:noVBand="1"/>
      </w:tblPr>
      <w:tblGrid>
        <w:gridCol w:w="1461"/>
        <w:gridCol w:w="3998"/>
        <w:gridCol w:w="3998"/>
      </w:tblGrid>
      <w:tr w:rsidR="00B16EA3" w:rsidRPr="00B16EA3" w14:paraId="7D3A0017"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noWrap/>
            <w:vAlign w:val="bottom"/>
            <w:hideMark/>
          </w:tcPr>
          <w:p w14:paraId="365530B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Балансова стойност на текущи финансови пасиви по валути (сумите са в BGN)</w:t>
            </w:r>
          </w:p>
        </w:tc>
      </w:tr>
      <w:tr w:rsidR="00B16EA3" w:rsidRPr="00B16EA3" w14:paraId="046CF808" w14:textId="77777777" w:rsidTr="007A5A1A">
        <w:trPr>
          <w:trHeight w:val="264"/>
        </w:trPr>
        <w:tc>
          <w:tcPr>
            <w:tcW w:w="772" w:type="pct"/>
            <w:tcBorders>
              <w:top w:val="nil"/>
              <w:left w:val="single" w:sz="4" w:space="0" w:color="auto"/>
              <w:bottom w:val="single" w:sz="4" w:space="0" w:color="auto"/>
              <w:right w:val="nil"/>
            </w:tcBorders>
            <w:noWrap/>
            <w:vAlign w:val="bottom"/>
            <w:hideMark/>
          </w:tcPr>
          <w:p w14:paraId="352273FB"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Валута</w:t>
            </w:r>
          </w:p>
        </w:tc>
        <w:tc>
          <w:tcPr>
            <w:tcW w:w="2114" w:type="pct"/>
            <w:tcBorders>
              <w:top w:val="nil"/>
              <w:left w:val="single" w:sz="4" w:space="0" w:color="auto"/>
              <w:bottom w:val="single" w:sz="4" w:space="0" w:color="auto"/>
              <w:right w:val="single" w:sz="4" w:space="0" w:color="auto"/>
            </w:tcBorders>
            <w:shd w:val="clear" w:color="000000" w:fill="FFFFFF"/>
            <w:noWrap/>
            <w:vAlign w:val="center"/>
            <w:hideMark/>
          </w:tcPr>
          <w:p w14:paraId="05C84751" w14:textId="576E708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52883">
              <w:rPr>
                <w:rFonts w:ascii="Arial" w:hAnsi="Arial" w:cs="Arial"/>
                <w:b/>
                <w:bCs/>
                <w:sz w:val="20"/>
                <w:lang w:eastAsia="bg-BG"/>
              </w:rPr>
              <w:t>1</w:t>
            </w:r>
            <w:r w:rsidRPr="00B16EA3">
              <w:rPr>
                <w:rFonts w:ascii="Arial" w:hAnsi="Arial" w:cs="Arial"/>
                <w:b/>
                <w:bCs/>
                <w:sz w:val="20"/>
                <w:lang w:eastAsia="bg-BG"/>
              </w:rPr>
              <w:t>.</w:t>
            </w:r>
            <w:r w:rsidR="00F52883">
              <w:rPr>
                <w:rFonts w:ascii="Arial" w:hAnsi="Arial" w:cs="Arial"/>
                <w:b/>
                <w:bCs/>
                <w:sz w:val="20"/>
                <w:lang w:eastAsia="bg-BG"/>
              </w:rPr>
              <w:t>12</w:t>
            </w:r>
            <w:r w:rsidRPr="00B16EA3">
              <w:rPr>
                <w:rFonts w:ascii="Arial" w:hAnsi="Arial" w:cs="Arial"/>
                <w:b/>
                <w:bCs/>
                <w:sz w:val="20"/>
                <w:lang w:eastAsia="bg-BG"/>
              </w:rPr>
              <w:t>.202</w:t>
            </w:r>
            <w:r w:rsidR="00FA6D0C">
              <w:rPr>
                <w:rFonts w:ascii="Arial" w:hAnsi="Arial" w:cs="Arial"/>
                <w:b/>
                <w:bCs/>
                <w:sz w:val="20"/>
                <w:lang w:val="en-US" w:eastAsia="bg-BG"/>
              </w:rPr>
              <w:t>5</w:t>
            </w:r>
            <w:r w:rsidRPr="00B16EA3">
              <w:rPr>
                <w:rFonts w:ascii="Arial" w:hAnsi="Arial" w:cs="Arial"/>
                <w:b/>
                <w:bCs/>
                <w:sz w:val="20"/>
                <w:lang w:eastAsia="bg-BG"/>
              </w:rPr>
              <w:t xml:space="preserve"> г.</w:t>
            </w:r>
          </w:p>
        </w:tc>
        <w:tc>
          <w:tcPr>
            <w:tcW w:w="2114" w:type="pct"/>
            <w:tcBorders>
              <w:top w:val="nil"/>
              <w:left w:val="nil"/>
              <w:bottom w:val="single" w:sz="4" w:space="0" w:color="auto"/>
              <w:right w:val="single" w:sz="4" w:space="0" w:color="auto"/>
            </w:tcBorders>
            <w:shd w:val="clear" w:color="000000" w:fill="FFFFFF"/>
            <w:noWrap/>
            <w:vAlign w:val="center"/>
            <w:hideMark/>
          </w:tcPr>
          <w:p w14:paraId="6F64ADD0" w14:textId="6D2E3F4E"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113D5A44" w14:textId="77777777" w:rsidTr="007A5A1A">
        <w:trPr>
          <w:trHeight w:val="264"/>
        </w:trPr>
        <w:tc>
          <w:tcPr>
            <w:tcW w:w="772" w:type="pct"/>
            <w:tcBorders>
              <w:top w:val="nil"/>
              <w:left w:val="single" w:sz="4" w:space="0" w:color="auto"/>
              <w:bottom w:val="single" w:sz="4" w:space="0" w:color="auto"/>
              <w:right w:val="nil"/>
            </w:tcBorders>
            <w:noWrap/>
            <w:vAlign w:val="bottom"/>
            <w:hideMark/>
          </w:tcPr>
          <w:p w14:paraId="6373FAEF"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BGN</w:t>
            </w:r>
          </w:p>
        </w:tc>
        <w:tc>
          <w:tcPr>
            <w:tcW w:w="2114" w:type="pct"/>
            <w:tcBorders>
              <w:top w:val="nil"/>
              <w:left w:val="single" w:sz="4" w:space="0" w:color="auto"/>
              <w:bottom w:val="single" w:sz="4" w:space="0" w:color="auto"/>
              <w:right w:val="single" w:sz="4" w:space="0" w:color="auto"/>
            </w:tcBorders>
            <w:noWrap/>
            <w:vAlign w:val="bottom"/>
            <w:hideMark/>
          </w:tcPr>
          <w:p w14:paraId="736E8D38" w14:textId="48ABC07A" w:rsidR="00B16EA3" w:rsidRPr="00F5288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F52883">
              <w:rPr>
                <w:rFonts w:ascii="Arial" w:hAnsi="Arial" w:cs="Arial"/>
                <w:sz w:val="20"/>
                <w:lang w:eastAsia="bg-BG"/>
              </w:rPr>
              <w:t>342</w:t>
            </w:r>
          </w:p>
        </w:tc>
        <w:tc>
          <w:tcPr>
            <w:tcW w:w="2114" w:type="pct"/>
            <w:tcBorders>
              <w:top w:val="nil"/>
              <w:left w:val="nil"/>
              <w:bottom w:val="single" w:sz="4" w:space="0" w:color="auto"/>
              <w:right w:val="single" w:sz="4" w:space="0" w:color="auto"/>
            </w:tcBorders>
            <w:noWrap/>
            <w:vAlign w:val="bottom"/>
            <w:hideMark/>
          </w:tcPr>
          <w:p w14:paraId="732C9AD9" w14:textId="3944E0FE" w:rsidR="00B16EA3" w:rsidRPr="00B16EA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FA6D0C">
              <w:rPr>
                <w:rFonts w:ascii="Arial" w:hAnsi="Arial" w:cs="Arial"/>
                <w:sz w:val="20"/>
                <w:lang w:val="en-US" w:eastAsia="bg-BG"/>
              </w:rPr>
              <w:t>225</w:t>
            </w:r>
            <w:r w:rsidRPr="00B16EA3">
              <w:rPr>
                <w:rFonts w:ascii="Arial" w:hAnsi="Arial" w:cs="Arial"/>
                <w:sz w:val="20"/>
                <w:lang w:eastAsia="bg-BG"/>
              </w:rPr>
              <w:t xml:space="preserve"> </w:t>
            </w:r>
          </w:p>
        </w:tc>
      </w:tr>
      <w:tr w:rsidR="00B16EA3" w:rsidRPr="00B16EA3" w14:paraId="3E161E4C" w14:textId="77777777" w:rsidTr="007A5A1A">
        <w:trPr>
          <w:trHeight w:val="264"/>
        </w:trPr>
        <w:tc>
          <w:tcPr>
            <w:tcW w:w="772" w:type="pct"/>
            <w:tcBorders>
              <w:top w:val="nil"/>
              <w:left w:val="single" w:sz="4" w:space="0" w:color="auto"/>
              <w:bottom w:val="single" w:sz="4" w:space="0" w:color="auto"/>
              <w:right w:val="nil"/>
            </w:tcBorders>
            <w:shd w:val="clear" w:color="000000" w:fill="00AEEF"/>
            <w:noWrap/>
            <w:vAlign w:val="bottom"/>
            <w:hideMark/>
          </w:tcPr>
          <w:p w14:paraId="79BC97AD"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Общо </w:t>
            </w:r>
          </w:p>
        </w:tc>
        <w:tc>
          <w:tcPr>
            <w:tcW w:w="2114" w:type="pct"/>
            <w:tcBorders>
              <w:top w:val="nil"/>
              <w:left w:val="single" w:sz="4" w:space="0" w:color="auto"/>
              <w:bottom w:val="single" w:sz="4" w:space="0" w:color="auto"/>
              <w:right w:val="single" w:sz="4" w:space="0" w:color="auto"/>
            </w:tcBorders>
            <w:shd w:val="clear" w:color="000000" w:fill="00AEEF"/>
            <w:noWrap/>
            <w:vAlign w:val="bottom"/>
            <w:hideMark/>
          </w:tcPr>
          <w:p w14:paraId="5313B1CC" w14:textId="7B8B489B"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F52883">
              <w:rPr>
                <w:rFonts w:ascii="Arial" w:hAnsi="Arial" w:cs="Arial"/>
                <w:b/>
                <w:bCs/>
                <w:sz w:val="20"/>
                <w:lang w:eastAsia="bg-BG"/>
              </w:rPr>
              <w:t>342</w:t>
            </w:r>
            <w:r w:rsidRPr="00B16EA3">
              <w:rPr>
                <w:rFonts w:ascii="Arial" w:hAnsi="Arial" w:cs="Arial"/>
                <w:b/>
                <w:bCs/>
                <w:sz w:val="20"/>
                <w:lang w:eastAsia="bg-BG"/>
              </w:rPr>
              <w:t xml:space="preserve"> </w:t>
            </w:r>
          </w:p>
        </w:tc>
        <w:tc>
          <w:tcPr>
            <w:tcW w:w="2114" w:type="pct"/>
            <w:tcBorders>
              <w:top w:val="nil"/>
              <w:left w:val="nil"/>
              <w:bottom w:val="single" w:sz="4" w:space="0" w:color="auto"/>
              <w:right w:val="single" w:sz="4" w:space="0" w:color="auto"/>
            </w:tcBorders>
            <w:shd w:val="clear" w:color="000000" w:fill="00AEEF"/>
            <w:noWrap/>
            <w:vAlign w:val="bottom"/>
            <w:hideMark/>
          </w:tcPr>
          <w:p w14:paraId="3598B2F5" w14:textId="5F17351E"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FA6D0C">
              <w:rPr>
                <w:rFonts w:ascii="Arial" w:hAnsi="Arial" w:cs="Arial"/>
                <w:b/>
                <w:bCs/>
                <w:sz w:val="20"/>
                <w:lang w:val="en-US" w:eastAsia="bg-BG"/>
              </w:rPr>
              <w:t>25</w:t>
            </w:r>
            <w:r w:rsidR="006E3286">
              <w:rPr>
                <w:rFonts w:ascii="Arial" w:hAnsi="Arial" w:cs="Arial"/>
                <w:b/>
                <w:bCs/>
                <w:sz w:val="20"/>
                <w:lang w:eastAsia="bg-BG"/>
              </w:rPr>
              <w:t>5</w:t>
            </w:r>
            <w:r w:rsidRPr="00B16EA3">
              <w:rPr>
                <w:rFonts w:ascii="Arial" w:hAnsi="Arial" w:cs="Arial"/>
                <w:b/>
                <w:bCs/>
                <w:sz w:val="20"/>
                <w:lang w:eastAsia="bg-BG"/>
              </w:rPr>
              <w:t xml:space="preserve"> </w:t>
            </w:r>
          </w:p>
        </w:tc>
      </w:tr>
    </w:tbl>
    <w:p w14:paraId="29F22AF7" w14:textId="77777777" w:rsidR="00C61F24" w:rsidRDefault="00C61F24" w:rsidP="00EA220E">
      <w:pPr>
        <w:rPr>
          <w:lang w:val="en-US"/>
        </w:rPr>
      </w:pPr>
    </w:p>
    <w:p w14:paraId="6AD82855" w14:textId="77777777" w:rsidR="00B66DF8" w:rsidRPr="00B14C47" w:rsidRDefault="00B66DF8" w:rsidP="000C2BB5">
      <w:pPr>
        <w:pStyle w:val="Heading1"/>
        <w:rPr>
          <w:rFonts w:ascii="Arial" w:hAnsi="Arial" w:cs="Arial"/>
          <w:snapToGrid w:val="0"/>
          <w:sz w:val="20"/>
          <w:szCs w:val="20"/>
          <w:lang w:val="bg-BG"/>
        </w:rPr>
      </w:pPr>
      <w:bookmarkStart w:id="157" w:name="_Toc247959204"/>
      <w:bookmarkStart w:id="158" w:name="_Toc314519624"/>
      <w:bookmarkStart w:id="159" w:name="_Toc4683428"/>
      <w:bookmarkStart w:id="160" w:name="_Toc195005036"/>
      <w:r w:rsidRPr="00C61F24">
        <w:rPr>
          <w:rFonts w:ascii="Arial" w:hAnsi="Arial" w:cs="Arial"/>
          <w:snapToGrid w:val="0"/>
          <w:sz w:val="20"/>
          <w:szCs w:val="20"/>
          <w:lang w:val="bg-BG"/>
        </w:rPr>
        <w:t>IV. Д</w:t>
      </w:r>
      <w:bookmarkEnd w:id="157"/>
      <w:bookmarkEnd w:id="158"/>
      <w:r w:rsidRPr="00C61F24">
        <w:rPr>
          <w:rFonts w:ascii="Arial" w:hAnsi="Arial" w:cs="Arial"/>
          <w:snapToGrid w:val="0"/>
          <w:sz w:val="20"/>
          <w:szCs w:val="20"/>
          <w:lang w:val="bg-BG"/>
        </w:rPr>
        <w:t>РУГИ ОПОВЕСТЯВАНИЯ</w:t>
      </w:r>
      <w:bookmarkEnd w:id="159"/>
      <w:bookmarkEnd w:id="160"/>
    </w:p>
    <w:p w14:paraId="13391086" w14:textId="77777777" w:rsidR="00B66DF8" w:rsidRPr="00B14C47" w:rsidRDefault="00B66DF8" w:rsidP="00B66DF8">
      <w:pPr>
        <w:pStyle w:val="Heading2"/>
        <w:spacing w:before="0"/>
        <w:rPr>
          <w:rFonts w:ascii="Arial" w:hAnsi="Arial" w:cs="Arial"/>
          <w:i/>
          <w:sz w:val="20"/>
          <w:szCs w:val="20"/>
          <w:lang w:val="bg-BG"/>
        </w:rPr>
      </w:pPr>
      <w:bookmarkStart w:id="161" w:name="_Toc247959206"/>
      <w:bookmarkStart w:id="162" w:name="_Toc4683429"/>
      <w:bookmarkStart w:id="163" w:name="_Toc195005037"/>
      <w:bookmarkStart w:id="164" w:name="_Hlk509915326"/>
      <w:bookmarkStart w:id="165" w:name="_Toc87445295"/>
      <w:bookmarkStart w:id="166" w:name="_Toc87446131"/>
      <w:bookmarkStart w:id="167" w:name="_Toc247959209"/>
      <w:r w:rsidRPr="00B14C47">
        <w:rPr>
          <w:rFonts w:ascii="Arial" w:hAnsi="Arial" w:cs="Arial"/>
          <w:i/>
          <w:sz w:val="20"/>
          <w:szCs w:val="20"/>
          <w:lang w:val="bg-BG"/>
        </w:rPr>
        <w:t>1. Свързани лица и сделки със свързани лица</w:t>
      </w:r>
      <w:bookmarkEnd w:id="161"/>
      <w:bookmarkEnd w:id="162"/>
      <w:bookmarkEnd w:id="163"/>
    </w:p>
    <w:p w14:paraId="0F3BA75F" w14:textId="77777777" w:rsidR="00FB735B" w:rsidRPr="00B14C47" w:rsidRDefault="00FB735B" w:rsidP="00FB735B">
      <w:pPr>
        <w:rPr>
          <w:rFonts w:ascii="Arial" w:hAnsi="Arial" w:cs="Arial"/>
          <w:bCs/>
          <w:iCs/>
          <w:szCs w:val="22"/>
          <w:lang w:val="en-US"/>
        </w:rPr>
      </w:pPr>
      <w:bookmarkStart w:id="168" w:name="_Hlk512242606"/>
      <w:bookmarkEnd w:id="164"/>
      <w:r w:rsidRPr="00B14C47">
        <w:rPr>
          <w:rFonts w:ascii="Arial" w:hAnsi="Arial" w:cs="Arial"/>
          <w:bCs/>
          <w:iCs/>
          <w:szCs w:val="22"/>
          <w:lang w:val="en-US"/>
        </w:rPr>
        <w:t>Дружеството оповестява следните свързани лица:</w:t>
      </w:r>
    </w:p>
    <w:p w14:paraId="7E909973"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Основните акционери са оповестени в приложение 2.5.1.</w:t>
      </w:r>
    </w:p>
    <w:p w14:paraId="0C5BC03D"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Ключов ръководен персонал на предприятието – Съвет на директорите</w:t>
      </w:r>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Председател и изпълнителен член</w:t>
      </w:r>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Членове</w:t>
      </w:r>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Емилия Кирилова Симеонова</w:t>
      </w:r>
    </w:p>
    <w:p w14:paraId="457909BF"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Татяна Христова Димитрова</w:t>
      </w:r>
    </w:p>
    <w:p w14:paraId="4F77C378" w14:textId="77777777" w:rsidR="00FB735B"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Дъщерни предприятия на дружеството:</w:t>
      </w:r>
    </w:p>
    <w:p w14:paraId="2F3BCBB1" w14:textId="77777777" w:rsidR="0096156C" w:rsidRPr="00B14C47" w:rsidRDefault="0096156C" w:rsidP="00FB735B">
      <w:pPr>
        <w:pStyle w:val="000Normal"/>
        <w:rPr>
          <w:rFonts w:ascii="Arial" w:hAnsi="Arial" w:cs="Arial"/>
          <w:iCs/>
          <w:sz w:val="22"/>
          <w:szCs w:val="22"/>
          <w:lang w:val="en-US"/>
        </w:rPr>
      </w:pPr>
    </w:p>
    <w:p w14:paraId="4092BFB1" w14:textId="77777777" w:rsidR="00FB735B" w:rsidRDefault="00FB735B" w:rsidP="00FB735B">
      <w:pPr>
        <w:rPr>
          <w:rFonts w:ascii="Arial" w:hAnsi="Arial" w:cs="Arial"/>
          <w:szCs w:val="22"/>
          <w:lang w:val="en-US"/>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7A206D36" w14:textId="77777777" w:rsidR="0096156C" w:rsidRDefault="0096156C" w:rsidP="00FB735B">
      <w:pPr>
        <w:rPr>
          <w:rFonts w:ascii="Arial" w:hAnsi="Arial" w:cs="Arial"/>
          <w:szCs w:val="22"/>
          <w:lang w:val="en-US"/>
        </w:rPr>
      </w:pPr>
    </w:p>
    <w:p w14:paraId="273EE9A6" w14:textId="77777777" w:rsidR="0096156C" w:rsidRPr="0096156C" w:rsidRDefault="0096156C" w:rsidP="00FB735B">
      <w:pPr>
        <w:rPr>
          <w:rFonts w:ascii="Arial" w:hAnsi="Arial" w:cs="Arial"/>
          <w:szCs w:val="22"/>
          <w:lang w:val="en-US"/>
        </w:rPr>
      </w:pP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6973"/>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1AB222A"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625628">
              <w:rPr>
                <w:rFonts w:ascii="Arial" w:hAnsi="Arial" w:cs="Arial"/>
                <w:sz w:val="20"/>
                <w:lang w:eastAsia="bg-BG"/>
              </w:rPr>
              <w:t>- в ликвидация от 25.07.2025г</w:t>
            </w:r>
          </w:p>
        </w:tc>
      </w:tr>
      <w:tr w:rsidR="00FB735B" w:rsidRPr="00B14C47" w14:paraId="73919DAB" w14:textId="77777777" w:rsidTr="00FB735B">
        <w:trPr>
          <w:trHeight w:val="270"/>
        </w:trPr>
        <w:tc>
          <w:tcPr>
            <w:tcW w:w="1982" w:type="pct"/>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p>
        </w:tc>
        <w:tc>
          <w:tcPr>
            <w:tcW w:w="301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FB735B">
        <w:trPr>
          <w:trHeight w:val="274"/>
        </w:trPr>
        <w:tc>
          <w:tcPr>
            <w:tcW w:w="1982" w:type="pct"/>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4762CAC3"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25628">
              <w:rPr>
                <w:rFonts w:ascii="Arial" w:hAnsi="Arial" w:cs="Arial"/>
                <w:sz w:val="20"/>
                <w:lang w:eastAsia="bg-BG"/>
              </w:rPr>
              <w:t>- в ликвидация от 25.07.2025г</w:t>
            </w:r>
          </w:p>
        </w:tc>
      </w:tr>
      <w:tr w:rsidR="00FB735B" w:rsidRPr="00B14C47" w14:paraId="21ABBA5F" w14:textId="77777777" w:rsidTr="00FB735B">
        <w:trPr>
          <w:trHeight w:val="135"/>
        </w:trPr>
        <w:tc>
          <w:tcPr>
            <w:tcW w:w="1982" w:type="pct"/>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lastRenderedPageBreak/>
              <w:t>Инфра Имоти ЕООД</w:t>
            </w:r>
          </w:p>
        </w:tc>
        <w:tc>
          <w:tcPr>
            <w:tcW w:w="301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FB735B">
        <w:trPr>
          <w:trHeight w:val="181"/>
        </w:trPr>
        <w:tc>
          <w:tcPr>
            <w:tcW w:w="1982" w:type="pct"/>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6E3286">
              <w:rPr>
                <w:rFonts w:ascii="Arial" w:hAnsi="Arial" w:cs="Arial"/>
                <w:sz w:val="20"/>
                <w:lang w:eastAsia="bg-BG"/>
              </w:rPr>
              <w:t>лу</w:t>
            </w:r>
            <w:r w:rsidR="009E0EDD">
              <w:rPr>
                <w:rFonts w:ascii="Arial" w:hAnsi="Arial" w:cs="Arial"/>
                <w:sz w:val="20"/>
                <w:lang w:eastAsia="bg-BG"/>
              </w:rPr>
              <w:t>ейс</w:t>
            </w:r>
            <w:r w:rsidRPr="00B14C47">
              <w:rPr>
                <w:rFonts w:ascii="Arial" w:hAnsi="Arial" w:cs="Arial"/>
                <w:sz w:val="20"/>
                <w:lang w:eastAsia="bg-BG"/>
              </w:rPr>
              <w:t xml:space="preserve">  ЕООД</w:t>
            </w:r>
          </w:p>
        </w:tc>
        <w:tc>
          <w:tcPr>
            <w:tcW w:w="301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FA06020" w14:textId="77777777" w:rsidTr="00FB735B">
        <w:trPr>
          <w:trHeight w:val="284"/>
        </w:trPr>
        <w:tc>
          <w:tcPr>
            <w:tcW w:w="1982" w:type="pct"/>
            <w:noWrap/>
            <w:vAlign w:val="bottom"/>
            <w:hideMark/>
          </w:tcPr>
          <w:p w14:paraId="6976DC9A"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Сейф Роудс  ЕООД</w:t>
            </w:r>
          </w:p>
        </w:tc>
        <w:tc>
          <w:tcPr>
            <w:tcW w:w="3018" w:type="pct"/>
            <w:shd w:val="clear" w:color="000000" w:fill="FFFFFF"/>
            <w:noWrap/>
            <w:hideMark/>
          </w:tcPr>
          <w:p w14:paraId="0FF9DD02" w14:textId="7B7048DA" w:rsidR="00FB735B" w:rsidRPr="00C61F24"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val="en-US" w:eastAsia="bg-BG"/>
              </w:rPr>
              <w:t xml:space="preserve"> – </w:t>
            </w:r>
            <w:r w:rsidR="00C61F24">
              <w:rPr>
                <w:rFonts w:ascii="Arial" w:hAnsi="Arial" w:cs="Arial"/>
                <w:sz w:val="20"/>
                <w:lang w:eastAsia="bg-BG"/>
              </w:rPr>
              <w:t>заличено на 07.12.2023г</w:t>
            </w:r>
          </w:p>
        </w:tc>
      </w:tr>
      <w:tr w:rsidR="00FB735B" w:rsidRPr="00B14C47" w14:paraId="449327AA" w14:textId="77777777" w:rsidTr="00FB735B">
        <w:trPr>
          <w:trHeight w:val="354"/>
        </w:trPr>
        <w:tc>
          <w:tcPr>
            <w:tcW w:w="1982" w:type="pct"/>
            <w:noWrap/>
            <w:vAlign w:val="bottom"/>
            <w:hideMark/>
          </w:tcPr>
          <w:p w14:paraId="4694B9FD"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Агуа Еко ЕООД</w:t>
            </w:r>
          </w:p>
        </w:tc>
        <w:tc>
          <w:tcPr>
            <w:tcW w:w="3018" w:type="pct"/>
            <w:shd w:val="clear" w:color="000000" w:fill="FFFFFF"/>
            <w:noWrap/>
            <w:hideMark/>
          </w:tcPr>
          <w:p w14:paraId="52AFFD3E" w14:textId="26CB325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eastAsia="bg-BG"/>
              </w:rPr>
              <w:t xml:space="preserve"> – заличено на 07.12.2023г</w:t>
            </w:r>
          </w:p>
        </w:tc>
      </w:tr>
      <w:tr w:rsidR="00FB735B" w:rsidRPr="00B14C47" w14:paraId="74C61D96" w14:textId="77777777" w:rsidTr="00FB735B">
        <w:trPr>
          <w:trHeight w:val="133"/>
        </w:trPr>
        <w:tc>
          <w:tcPr>
            <w:tcW w:w="1982" w:type="pct"/>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587D011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r w:rsidR="00F52883">
              <w:rPr>
                <w:rFonts w:ascii="Arial" w:hAnsi="Arial" w:cs="Arial"/>
                <w:sz w:val="20"/>
                <w:lang w:eastAsia="bg-BG"/>
              </w:rPr>
              <w:t>- продадено 100% от капитала на 08.12.2025г</w:t>
            </w:r>
          </w:p>
        </w:tc>
      </w:tr>
      <w:tr w:rsidR="00FB735B" w:rsidRPr="00B14C47" w14:paraId="27D51C5C" w14:textId="77777777" w:rsidTr="00FB735B">
        <w:trPr>
          <w:trHeight w:val="279"/>
        </w:trPr>
        <w:tc>
          <w:tcPr>
            <w:tcW w:w="1982" w:type="pct"/>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018" w:type="pct"/>
            <w:shd w:val="clear" w:color="000000" w:fill="FFFFFF"/>
            <w:noWrap/>
          </w:tcPr>
          <w:p w14:paraId="4DBB5C6A" w14:textId="7FC13D00"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r w:rsidR="00625628">
              <w:rPr>
                <w:rFonts w:ascii="Arial" w:hAnsi="Arial" w:cs="Arial"/>
                <w:sz w:val="20"/>
                <w:lang w:eastAsia="bg-BG"/>
              </w:rPr>
              <w:t>-заличено на 21.07.2025г</w:t>
            </w:r>
          </w:p>
        </w:tc>
      </w:tr>
    </w:tbl>
    <w:p w14:paraId="207D931A" w14:textId="77777777" w:rsidR="00074156" w:rsidRDefault="00074156" w:rsidP="00FB735B">
      <w:pPr>
        <w:pStyle w:val="000Normal"/>
        <w:rPr>
          <w:rFonts w:ascii="Arial" w:hAnsi="Arial" w:cs="Arial"/>
          <w:b/>
          <w:szCs w:val="20"/>
          <w:lang w:val="en-US"/>
        </w:rPr>
      </w:pPr>
    </w:p>
    <w:p w14:paraId="665FC13F" w14:textId="5AEBBB4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370"/>
        <w:gridCol w:w="2214"/>
        <w:gridCol w:w="2046"/>
        <w:gridCol w:w="1809"/>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vAlign w:val="bottom"/>
            <w:hideMark/>
          </w:tcPr>
          <w:p w14:paraId="6EACBCD5" w14:textId="4FBB1F36" w:rsidR="00F422BC" w:rsidRPr="00CA29CF" w:rsidRDefault="00F422BC" w:rsidP="007A5A1A">
            <w:pPr>
              <w:jc w:val="left"/>
              <w:rPr>
                <w:rFonts w:ascii="Arial" w:hAnsi="Arial" w:cs="Arial"/>
                <w:b/>
                <w:bCs/>
                <w:sz w:val="20"/>
                <w:lang w:eastAsia="bg-BG"/>
              </w:rPr>
            </w:pPr>
            <w:bookmarkStart w:id="169" w:name="_Hlk160807347"/>
            <w:r w:rsidRPr="00CA29CF">
              <w:rPr>
                <w:rFonts w:ascii="Arial" w:hAnsi="Arial" w:cs="Arial"/>
                <w:b/>
                <w:bCs/>
                <w:sz w:val="20"/>
                <w:lang w:eastAsia="bg-BG"/>
              </w:rPr>
              <w:t>Салда на главници по заеми, предоставени на свързани лица в групата – 3</w:t>
            </w:r>
            <w:r w:rsidR="002A0B90">
              <w:rPr>
                <w:rFonts w:ascii="Arial" w:hAnsi="Arial" w:cs="Arial"/>
                <w:b/>
                <w:bCs/>
                <w:sz w:val="20"/>
                <w:lang w:eastAsia="bg-BG"/>
              </w:rPr>
              <w:t>1</w:t>
            </w:r>
            <w:r w:rsidRPr="00CA29CF">
              <w:rPr>
                <w:rFonts w:ascii="Arial" w:hAnsi="Arial" w:cs="Arial"/>
                <w:b/>
                <w:bCs/>
                <w:sz w:val="20"/>
                <w:lang w:eastAsia="bg-BG"/>
              </w:rPr>
              <w:t>.</w:t>
            </w:r>
            <w:r w:rsidR="002A0B90">
              <w:rPr>
                <w:rFonts w:ascii="Arial" w:hAnsi="Arial" w:cs="Arial"/>
                <w:b/>
                <w:bCs/>
                <w:sz w:val="20"/>
                <w:lang w:eastAsia="bg-BG"/>
              </w:rPr>
              <w:t>12</w:t>
            </w:r>
            <w:r w:rsidRPr="00CA29CF">
              <w:rPr>
                <w:rFonts w:ascii="Arial" w:hAnsi="Arial" w:cs="Arial"/>
                <w:b/>
                <w:bCs/>
                <w:sz w:val="20"/>
                <w:lang w:eastAsia="bg-BG"/>
              </w:rPr>
              <w:t>.202</w:t>
            </w:r>
            <w:r w:rsidR="00191A1C">
              <w:rPr>
                <w:rFonts w:ascii="Arial" w:hAnsi="Arial" w:cs="Arial"/>
                <w:b/>
                <w:bCs/>
                <w:sz w:val="20"/>
                <w:lang w:eastAsia="bg-BG"/>
              </w:rPr>
              <w:t>5</w:t>
            </w:r>
            <w:r w:rsidRPr="00CA29CF">
              <w:rPr>
                <w:rFonts w:ascii="Arial" w:hAnsi="Arial" w:cs="Arial"/>
                <w:b/>
                <w:bCs/>
                <w:sz w:val="20"/>
                <w:lang w:eastAsia="bg-BG"/>
              </w:rPr>
              <w:t>г.</w:t>
            </w:r>
          </w:p>
        </w:tc>
      </w:tr>
      <w:tr w:rsidR="00F422BC" w:rsidRPr="00B14C47" w14:paraId="2CBECF70" w14:textId="77777777" w:rsidTr="00191A1C">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191A1C">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7A5A1A">
            <w:pPr>
              <w:jc w:val="left"/>
              <w:rPr>
                <w:rFonts w:ascii="Arial" w:hAnsi="Arial" w:cs="Arial"/>
                <w:b/>
                <w:bCs/>
                <w:sz w:val="20"/>
                <w:lang w:eastAsia="bg-BG"/>
              </w:rPr>
            </w:pPr>
          </w:p>
        </w:tc>
        <w:tc>
          <w:tcPr>
            <w:tcW w:w="3215"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7A5A1A">
            <w:pPr>
              <w:jc w:val="left"/>
              <w:rPr>
                <w:rFonts w:ascii="Arial" w:hAnsi="Arial" w:cs="Arial"/>
                <w:b/>
                <w:bCs/>
                <w:sz w:val="20"/>
                <w:lang w:eastAsia="bg-BG"/>
              </w:rPr>
            </w:pPr>
          </w:p>
        </w:tc>
      </w:tr>
      <w:tr w:rsidR="00F422BC" w:rsidRPr="00B14C47" w14:paraId="65A92953" w14:textId="77777777" w:rsidTr="00191A1C">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7A5A1A">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3A4911" w:rsidRPr="00B14C47" w14:paraId="5699C630" w14:textId="77777777" w:rsidTr="00191A1C">
        <w:trPr>
          <w:trHeight w:val="191"/>
        </w:trPr>
        <w:tc>
          <w:tcPr>
            <w:tcW w:w="1785" w:type="pct"/>
            <w:tcBorders>
              <w:top w:val="nil"/>
              <w:left w:val="single" w:sz="4" w:space="0" w:color="auto"/>
              <w:bottom w:val="single" w:sz="4" w:space="0" w:color="auto"/>
              <w:right w:val="nil"/>
            </w:tcBorders>
            <w:noWrap/>
            <w:vAlign w:val="bottom"/>
          </w:tcPr>
          <w:p w14:paraId="2FFDF27B" w14:textId="2955853F" w:rsidR="003A4911" w:rsidRDefault="003A4911" w:rsidP="007A5A1A">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3C4C31C6" w14:textId="635CA2C8"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521E51A5" w14:textId="3A18A343" w:rsidR="003A4911" w:rsidRPr="00B14C47" w:rsidRDefault="002A0B90" w:rsidP="007A5A1A">
            <w:pPr>
              <w:jc w:val="center"/>
              <w:rPr>
                <w:rFonts w:ascii="Arial" w:hAnsi="Arial" w:cs="Arial"/>
                <w:i/>
                <w:iCs/>
                <w:sz w:val="20"/>
                <w:lang w:eastAsia="bg-BG"/>
              </w:rPr>
            </w:pPr>
            <w:r>
              <w:rPr>
                <w:rFonts w:ascii="Arial" w:hAnsi="Arial" w:cs="Arial"/>
                <w:i/>
                <w:iCs/>
                <w:sz w:val="20"/>
                <w:lang w:eastAsia="bg-BG"/>
              </w:rPr>
              <w:t xml:space="preserve">                     -1</w:t>
            </w:r>
          </w:p>
        </w:tc>
        <w:tc>
          <w:tcPr>
            <w:tcW w:w="958" w:type="pct"/>
            <w:tcBorders>
              <w:top w:val="nil"/>
              <w:left w:val="nil"/>
              <w:bottom w:val="single" w:sz="4" w:space="0" w:color="auto"/>
              <w:right w:val="single" w:sz="4" w:space="0" w:color="auto"/>
            </w:tcBorders>
            <w:shd w:val="clear" w:color="000000" w:fill="FFFFFF"/>
            <w:noWrap/>
            <w:vAlign w:val="bottom"/>
          </w:tcPr>
          <w:p w14:paraId="702F032D" w14:textId="445B74D4"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w:t>
            </w:r>
            <w:r w:rsidR="002A0B90">
              <w:rPr>
                <w:rFonts w:ascii="Arial" w:hAnsi="Arial" w:cs="Arial"/>
                <w:sz w:val="20"/>
                <w:lang w:eastAsia="bg-BG"/>
              </w:rPr>
              <w:t>-</w:t>
            </w:r>
          </w:p>
        </w:tc>
      </w:tr>
      <w:tr w:rsidR="00F422BC" w:rsidRPr="00B14C47" w14:paraId="3FF0CB62" w14:textId="77777777" w:rsidTr="00191A1C">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195C5A9E"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2A0B90">
              <w:rPr>
                <w:rFonts w:ascii="Arial" w:hAnsi="Arial" w:cs="Arial"/>
                <w:b/>
                <w:bCs/>
                <w:sz w:val="20"/>
                <w:lang w:eastAsia="bg-BG"/>
              </w:rPr>
              <w:t>1</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389746A9" w:rsidR="00F422BC" w:rsidRPr="00B14C47" w:rsidRDefault="00F422BC" w:rsidP="007A5A1A">
            <w:pPr>
              <w:jc w:val="center"/>
              <w:rPr>
                <w:rFonts w:ascii="Arial" w:hAnsi="Arial" w:cs="Arial"/>
                <w:b/>
                <w:bCs/>
                <w:i/>
                <w:iCs/>
                <w:sz w:val="20"/>
                <w:lang w:eastAsia="bg-BG"/>
              </w:rPr>
            </w:pPr>
            <w:r w:rsidRPr="00B14C47">
              <w:rPr>
                <w:rFonts w:ascii="Arial" w:hAnsi="Arial" w:cs="Arial"/>
                <w:b/>
                <w:bCs/>
                <w:i/>
                <w:iCs/>
                <w:sz w:val="20"/>
                <w:lang w:eastAsia="bg-BG"/>
              </w:rPr>
              <w:t xml:space="preserve">                      </w:t>
            </w:r>
            <w:r w:rsidR="002A0B90">
              <w:rPr>
                <w:rFonts w:ascii="Arial" w:hAnsi="Arial" w:cs="Arial"/>
                <w:b/>
                <w:bCs/>
                <w:i/>
                <w:iCs/>
                <w:sz w:val="20"/>
                <w:lang w:eastAsia="bg-BG"/>
              </w:rPr>
              <w:t>-1</w:t>
            </w:r>
            <w:r w:rsidRPr="00B14C47">
              <w:rPr>
                <w:rFonts w:ascii="Arial" w:hAnsi="Arial" w:cs="Arial"/>
                <w:b/>
                <w:bCs/>
                <w:i/>
                <w:iCs/>
                <w:sz w:val="20"/>
                <w:lang w:eastAsia="bg-BG"/>
              </w:rPr>
              <w:t xml:space="preserve">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57A7CD74"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2A0B90">
              <w:rPr>
                <w:rFonts w:ascii="Arial" w:hAnsi="Arial" w:cs="Arial"/>
                <w:b/>
                <w:bCs/>
                <w:sz w:val="20"/>
                <w:lang w:eastAsia="bg-BG"/>
              </w:rPr>
              <w:t>-</w:t>
            </w:r>
            <w:r w:rsidRPr="00B14C47">
              <w:rPr>
                <w:rFonts w:ascii="Arial" w:hAnsi="Arial" w:cs="Arial"/>
                <w:b/>
                <w:bCs/>
                <w:sz w:val="20"/>
                <w:lang w:eastAsia="bg-BG"/>
              </w:rPr>
              <w:t xml:space="preserve"> </w:t>
            </w:r>
          </w:p>
        </w:tc>
      </w:tr>
    </w:tbl>
    <w:p w14:paraId="27A3D643" w14:textId="77777777" w:rsidR="00191A1C" w:rsidRPr="009D784E" w:rsidRDefault="00191A1C" w:rsidP="003A1B5D">
      <w:pPr>
        <w:rPr>
          <w:rFonts w:ascii="Arial" w:hAnsi="Arial" w:cs="Arial"/>
          <w:sz w:val="18"/>
          <w:szCs w:val="18"/>
        </w:rPr>
      </w:pPr>
    </w:p>
    <w:p w14:paraId="118DED8F" w14:textId="77777777" w:rsidR="00191A1C" w:rsidRPr="00191A1C" w:rsidRDefault="00191A1C" w:rsidP="003A1B5D">
      <w:pPr>
        <w:rPr>
          <w:rFonts w:ascii="Arial" w:hAnsi="Arial" w:cs="Arial"/>
          <w:sz w:val="18"/>
          <w:szCs w:val="18"/>
        </w:rPr>
      </w:pPr>
    </w:p>
    <w:p w14:paraId="4713BAA2" w14:textId="0434ACAA" w:rsidR="00074156" w:rsidRPr="00B14C47" w:rsidRDefault="00A24136" w:rsidP="003A1B5D">
      <w:pPr>
        <w:rPr>
          <w:rFonts w:ascii="Arial" w:hAnsi="Arial" w:cs="Arial"/>
          <w:sz w:val="18"/>
          <w:szCs w:val="18"/>
          <w:lang w:val="en-US"/>
        </w:rPr>
      </w:pPr>
      <w:r w:rsidRPr="00A24136">
        <w:rPr>
          <w:noProof/>
        </w:rPr>
        <w:drawing>
          <wp:inline distT="0" distB="0" distL="0" distR="0" wp14:anchorId="4C3ED53C" wp14:editId="73D33A40">
            <wp:extent cx="6011545" cy="760095"/>
            <wp:effectExtent l="0" t="0" r="8255" b="1905"/>
            <wp:docPr id="722870233"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1545" cy="760095"/>
                    </a:xfrm>
                    <a:prstGeom prst="rect">
                      <a:avLst/>
                    </a:prstGeom>
                    <a:noFill/>
                    <a:ln>
                      <a:noFill/>
                    </a:ln>
                  </pic:spPr>
                </pic:pic>
              </a:graphicData>
            </a:graphic>
          </wp:inline>
        </w:drawing>
      </w:r>
    </w:p>
    <w:p w14:paraId="0B604460" w14:textId="5DDB5EEF" w:rsidR="00BD4996" w:rsidRDefault="00BD4996" w:rsidP="00BD4996">
      <w:pPr>
        <w:rPr>
          <w:rFonts w:ascii="Arial" w:hAnsi="Arial" w:cs="Arial"/>
          <w:sz w:val="18"/>
          <w:szCs w:val="18"/>
          <w:lang w:val="en-US"/>
        </w:rPr>
      </w:pPr>
    </w:p>
    <w:p w14:paraId="4994F704" w14:textId="77777777" w:rsidR="00CA29CF" w:rsidRPr="00A24136" w:rsidRDefault="00CA29CF" w:rsidP="003A1B5D">
      <w:pPr>
        <w:rPr>
          <w:rFonts w:ascii="Arial" w:hAnsi="Arial" w:cs="Arial"/>
          <w:sz w:val="18"/>
          <w:szCs w:val="18"/>
        </w:rPr>
      </w:pPr>
    </w:p>
    <w:p w14:paraId="5D589906" w14:textId="77777777" w:rsidR="00784497" w:rsidRPr="000877E0" w:rsidRDefault="00784497" w:rsidP="003A1B5D">
      <w:pPr>
        <w:rPr>
          <w:rFonts w:ascii="Arial" w:hAnsi="Arial" w:cs="Arial"/>
          <w:sz w:val="18"/>
          <w:szCs w:val="18"/>
        </w:rPr>
      </w:pPr>
    </w:p>
    <w:p w14:paraId="77FAE4CB" w14:textId="6AFE325C" w:rsidR="00606E15"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47"/>
        <w:gridCol w:w="1789"/>
        <w:gridCol w:w="1663"/>
        <w:gridCol w:w="1698"/>
        <w:gridCol w:w="1760"/>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12091D65" w14:textId="5134A64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Pr>
                <w:rFonts w:ascii="Arial" w:hAnsi="Arial" w:cs="Arial"/>
                <w:b/>
                <w:bCs/>
                <w:sz w:val="20"/>
                <w:lang w:eastAsia="bg-BG"/>
              </w:rPr>
              <w:t xml:space="preserve"> – текуща година</w:t>
            </w:r>
          </w:p>
        </w:tc>
      </w:tr>
      <w:tr w:rsidR="00901C98" w:rsidRPr="00F422BC" w14:paraId="0249E396" w14:textId="77777777" w:rsidTr="00B2291C">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5DFABEB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901C98">
              <w:rPr>
                <w:rFonts w:ascii="Arial" w:hAnsi="Arial" w:cs="Arial"/>
                <w:b/>
                <w:bCs/>
                <w:sz w:val="20"/>
                <w:lang w:eastAsia="bg-BG"/>
              </w:rPr>
              <w:t xml:space="preserve"> </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1DEBF91A" w14:textId="77777777" w:rsidTr="00B2291C">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71F25F0D" w:rsidR="00F422BC" w:rsidRPr="00F422BC" w:rsidRDefault="00F422BC" w:rsidP="00F422BC">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7B407D3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901C98">
              <w:rPr>
                <w:rFonts w:ascii="Arial" w:hAnsi="Arial" w:cs="Arial"/>
                <w:b/>
                <w:bCs/>
                <w:sz w:val="20"/>
                <w:lang w:eastAsia="bg-BG"/>
              </w:rPr>
              <w:t>5</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777336BD" w:rsidR="00F422BC" w:rsidRPr="00F422BC" w:rsidRDefault="00901C98" w:rsidP="00F422BC">
            <w:pPr>
              <w:jc w:val="left"/>
              <w:rPr>
                <w:rFonts w:ascii="Arial" w:hAnsi="Arial" w:cs="Arial"/>
                <w:b/>
                <w:bCs/>
                <w:sz w:val="20"/>
                <w:lang w:eastAsia="bg-BG"/>
              </w:rPr>
            </w:pPr>
            <w:r>
              <w:rPr>
                <w:rFonts w:ascii="Arial" w:hAnsi="Arial" w:cs="Arial"/>
                <w:b/>
                <w:bCs/>
                <w:sz w:val="20"/>
                <w:lang w:eastAsia="bg-BG"/>
              </w:rPr>
              <w:t>2025</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146AE87F"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w:t>
            </w:r>
            <w:r w:rsidR="00A24136">
              <w:rPr>
                <w:rFonts w:ascii="Arial" w:hAnsi="Arial" w:cs="Arial"/>
                <w:b/>
                <w:bCs/>
                <w:sz w:val="20"/>
                <w:lang w:eastAsia="bg-BG"/>
              </w:rPr>
              <w:t>1</w:t>
            </w:r>
            <w:r w:rsidRPr="00F422BC">
              <w:rPr>
                <w:rFonts w:ascii="Arial" w:hAnsi="Arial" w:cs="Arial"/>
                <w:b/>
                <w:bCs/>
                <w:sz w:val="20"/>
                <w:lang w:eastAsia="bg-BG"/>
              </w:rPr>
              <w:t>.</w:t>
            </w:r>
            <w:r w:rsidR="00A24136">
              <w:rPr>
                <w:rFonts w:ascii="Arial" w:hAnsi="Arial" w:cs="Arial"/>
                <w:b/>
                <w:bCs/>
                <w:sz w:val="20"/>
                <w:lang w:eastAsia="bg-BG"/>
              </w:rPr>
              <w:t>12</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6F04290" w14:textId="77777777" w:rsidTr="00B2291C">
        <w:trPr>
          <w:trHeight w:val="264"/>
        </w:trPr>
        <w:tc>
          <w:tcPr>
            <w:tcW w:w="1352" w:type="pct"/>
            <w:tcBorders>
              <w:top w:val="nil"/>
              <w:left w:val="single" w:sz="4" w:space="0" w:color="auto"/>
              <w:bottom w:val="single" w:sz="4" w:space="0" w:color="auto"/>
              <w:right w:val="nil"/>
            </w:tcBorders>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2B70FE8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2</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2981054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5D73B4EA"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67000E48"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r>
      <w:tr w:rsidR="00901C98" w:rsidRPr="00F422BC" w14:paraId="025E5447" w14:textId="77777777" w:rsidTr="00B2291C">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4BEEA9BE"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2</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55B5087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2F92121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B2291C">
              <w:rPr>
                <w:rFonts w:ascii="Arial" w:hAnsi="Arial" w:cs="Arial"/>
                <w:b/>
                <w:bCs/>
                <w:sz w:val="20"/>
                <w:lang w:eastAsia="bg-BG"/>
              </w:rPr>
              <w:t>(</w:t>
            </w:r>
            <w:r w:rsidR="00901C98">
              <w:rPr>
                <w:rFonts w:ascii="Arial" w:hAnsi="Arial" w:cs="Arial"/>
                <w:b/>
                <w:bCs/>
                <w:sz w:val="20"/>
                <w:lang w:eastAsia="bg-BG"/>
              </w:rPr>
              <w:t>1</w:t>
            </w:r>
            <w:r w:rsidR="00B2291C">
              <w:rPr>
                <w:rFonts w:ascii="Arial" w:hAnsi="Arial" w:cs="Arial"/>
                <w:b/>
                <w:bCs/>
                <w:sz w:val="20"/>
                <w:lang w:eastAsia="bg-BG"/>
              </w:rPr>
              <w:t>)</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53D4755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r w:rsidRPr="00F422BC">
              <w:rPr>
                <w:rFonts w:ascii="Arial" w:hAnsi="Arial" w:cs="Arial"/>
                <w:b/>
                <w:bCs/>
                <w:sz w:val="20"/>
                <w:lang w:eastAsia="bg-BG"/>
              </w:rPr>
              <w:t xml:space="preserve"> </w:t>
            </w:r>
          </w:p>
        </w:tc>
      </w:tr>
    </w:tbl>
    <w:p w14:paraId="17B404BB" w14:textId="77777777" w:rsidR="00CA29CF" w:rsidRPr="009F00E2" w:rsidRDefault="00CA29CF" w:rsidP="003A1B5D">
      <w:pPr>
        <w:rPr>
          <w:rFonts w:ascii="Arial" w:hAnsi="Arial" w:cs="Arial"/>
          <w:b/>
          <w:szCs w:val="22"/>
        </w:rPr>
      </w:pPr>
    </w:p>
    <w:p w14:paraId="77C86BDB" w14:textId="77777777" w:rsidR="00901C98" w:rsidRPr="00901C98" w:rsidRDefault="00901C98" w:rsidP="003A1B5D">
      <w:pPr>
        <w:rPr>
          <w:rFonts w:ascii="Arial" w:hAnsi="Arial" w:cs="Arial"/>
          <w:b/>
          <w:szCs w:val="22"/>
        </w:rPr>
      </w:pPr>
    </w:p>
    <w:tbl>
      <w:tblPr>
        <w:tblW w:w="5083" w:type="pct"/>
        <w:tblCellMar>
          <w:left w:w="70" w:type="dxa"/>
          <w:right w:w="70" w:type="dxa"/>
        </w:tblCellMar>
        <w:tblLook w:val="04A0" w:firstRow="1" w:lastRow="0" w:firstColumn="1" w:lastColumn="0" w:noHBand="0" w:noVBand="1"/>
      </w:tblPr>
      <w:tblGrid>
        <w:gridCol w:w="4074"/>
        <w:gridCol w:w="2850"/>
        <w:gridCol w:w="2690"/>
      </w:tblGrid>
      <w:tr w:rsidR="00476CAF" w:rsidRPr="00F422BC" w14:paraId="48E76917" w14:textId="77777777" w:rsidTr="00953F43">
        <w:trPr>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5036299E" w14:textId="7F623C6B" w:rsidR="00476CAF" w:rsidRPr="00F422BC" w:rsidRDefault="00476CAF" w:rsidP="00953F43">
            <w:pPr>
              <w:jc w:val="left"/>
              <w:rPr>
                <w:rFonts w:ascii="Arial" w:hAnsi="Arial" w:cs="Arial"/>
                <w:b/>
                <w:bCs/>
                <w:sz w:val="20"/>
                <w:lang w:eastAsia="bg-BG"/>
              </w:rPr>
            </w:pPr>
            <w:bookmarkStart w:id="170" w:name="_Hlk193215748"/>
            <w:r w:rsidRPr="00F422BC">
              <w:rPr>
                <w:rFonts w:ascii="Arial" w:hAnsi="Arial" w:cs="Arial"/>
                <w:b/>
                <w:bCs/>
                <w:sz w:val="20"/>
                <w:lang w:eastAsia="bg-BG"/>
              </w:rPr>
              <w:t xml:space="preserve">Салда на главници по заеми, получени от свързани лица </w:t>
            </w:r>
            <w:r>
              <w:rPr>
                <w:rFonts w:ascii="Arial" w:hAnsi="Arial" w:cs="Arial"/>
                <w:b/>
                <w:bCs/>
                <w:sz w:val="20"/>
                <w:lang w:eastAsia="bg-BG"/>
              </w:rPr>
              <w:t>извън</w:t>
            </w:r>
            <w:r w:rsidRPr="00F422BC">
              <w:rPr>
                <w:rFonts w:ascii="Arial" w:hAnsi="Arial" w:cs="Arial"/>
                <w:b/>
                <w:bCs/>
                <w:sz w:val="20"/>
                <w:lang w:eastAsia="bg-BG"/>
              </w:rPr>
              <w:t xml:space="preserve"> групата </w:t>
            </w:r>
            <w:r>
              <w:rPr>
                <w:rFonts w:ascii="Arial" w:hAnsi="Arial" w:cs="Arial"/>
                <w:b/>
                <w:bCs/>
                <w:sz w:val="20"/>
                <w:lang w:eastAsia="bg-BG"/>
              </w:rPr>
              <w:t>–</w:t>
            </w:r>
            <w:r w:rsidRPr="00F422BC">
              <w:rPr>
                <w:rFonts w:ascii="Arial" w:hAnsi="Arial" w:cs="Arial"/>
                <w:b/>
                <w:bCs/>
                <w:sz w:val="20"/>
                <w:lang w:eastAsia="bg-BG"/>
              </w:rPr>
              <w:t xml:space="preserve"> </w:t>
            </w:r>
            <w:r>
              <w:rPr>
                <w:rFonts w:ascii="Arial" w:hAnsi="Arial" w:cs="Arial"/>
                <w:b/>
                <w:bCs/>
                <w:sz w:val="20"/>
                <w:lang w:eastAsia="bg-BG"/>
              </w:rPr>
              <w:t>3</w:t>
            </w:r>
            <w:r w:rsidR="00A24136">
              <w:rPr>
                <w:rFonts w:ascii="Arial" w:hAnsi="Arial" w:cs="Arial"/>
                <w:b/>
                <w:bCs/>
                <w:sz w:val="20"/>
                <w:lang w:eastAsia="bg-BG"/>
              </w:rPr>
              <w:t>1</w:t>
            </w:r>
            <w:r w:rsidR="00995204">
              <w:rPr>
                <w:rFonts w:ascii="Arial" w:hAnsi="Arial" w:cs="Arial"/>
                <w:b/>
                <w:bCs/>
                <w:sz w:val="20"/>
                <w:lang w:eastAsia="bg-BG"/>
              </w:rPr>
              <w:t>.</w:t>
            </w:r>
            <w:r w:rsidR="00A24136">
              <w:rPr>
                <w:rFonts w:ascii="Arial" w:hAnsi="Arial" w:cs="Arial"/>
                <w:b/>
                <w:bCs/>
                <w:sz w:val="20"/>
                <w:lang w:eastAsia="bg-BG"/>
              </w:rPr>
              <w:t>12</w:t>
            </w:r>
            <w:r>
              <w:rPr>
                <w:rFonts w:ascii="Arial" w:hAnsi="Arial" w:cs="Arial"/>
                <w:b/>
                <w:bCs/>
                <w:sz w:val="20"/>
                <w:lang w:eastAsia="bg-BG"/>
              </w:rPr>
              <w:t>.202</w:t>
            </w:r>
            <w:r w:rsidR="00901C98">
              <w:rPr>
                <w:rFonts w:ascii="Arial" w:hAnsi="Arial" w:cs="Arial"/>
                <w:b/>
                <w:bCs/>
                <w:sz w:val="20"/>
                <w:lang w:eastAsia="bg-BG"/>
              </w:rPr>
              <w:t>5</w:t>
            </w:r>
            <w:r>
              <w:rPr>
                <w:rFonts w:ascii="Arial" w:hAnsi="Arial" w:cs="Arial"/>
                <w:b/>
                <w:bCs/>
                <w:sz w:val="20"/>
                <w:lang w:eastAsia="bg-BG"/>
              </w:rPr>
              <w:t>г.</w:t>
            </w:r>
          </w:p>
        </w:tc>
      </w:tr>
      <w:tr w:rsidR="00476CAF" w:rsidRPr="00F422BC" w14:paraId="4967325C" w14:textId="77777777" w:rsidTr="00953F43">
        <w:trPr>
          <w:trHeight w:val="433"/>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70B77743" w14:textId="77777777" w:rsidR="00476CAF" w:rsidRPr="00F422BC" w:rsidRDefault="00476CAF" w:rsidP="00953F43">
            <w:pPr>
              <w:jc w:val="left"/>
              <w:rPr>
                <w:rFonts w:ascii="Arial" w:hAnsi="Arial" w:cs="Arial"/>
                <w:b/>
                <w:bCs/>
                <w:sz w:val="20"/>
                <w:lang w:eastAsia="bg-BG"/>
              </w:rPr>
            </w:pPr>
          </w:p>
        </w:tc>
      </w:tr>
      <w:tr w:rsidR="00476CAF" w:rsidRPr="00F422BC" w14:paraId="7BF3F3EA" w14:textId="77777777" w:rsidTr="00953F43">
        <w:trPr>
          <w:trHeight w:val="433"/>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03D85A"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98FC1E0"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0D654C"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r>
      <w:tr w:rsidR="00476CAF" w:rsidRPr="00F422BC" w14:paraId="196E136A" w14:textId="77777777" w:rsidTr="00953F43">
        <w:trPr>
          <w:trHeight w:val="433"/>
        </w:trPr>
        <w:tc>
          <w:tcPr>
            <w:tcW w:w="2084" w:type="pct"/>
            <w:vMerge/>
            <w:tcBorders>
              <w:top w:val="nil"/>
              <w:left w:val="single" w:sz="4" w:space="0" w:color="auto"/>
              <w:bottom w:val="single" w:sz="4" w:space="0" w:color="000000"/>
              <w:right w:val="single" w:sz="4" w:space="0" w:color="auto"/>
            </w:tcBorders>
            <w:vAlign w:val="center"/>
            <w:hideMark/>
          </w:tcPr>
          <w:p w14:paraId="58E15A02" w14:textId="77777777" w:rsidR="00476CAF" w:rsidRPr="00F422BC" w:rsidRDefault="00476CAF" w:rsidP="00953F43">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5846DE42" w14:textId="77777777" w:rsidR="00476CAF" w:rsidRPr="00F422BC" w:rsidRDefault="00476CAF" w:rsidP="00953F43">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31C97A85" w14:textId="77777777" w:rsidR="00476CAF" w:rsidRPr="00F422BC" w:rsidRDefault="00476CAF" w:rsidP="00953F43">
            <w:pPr>
              <w:jc w:val="left"/>
              <w:rPr>
                <w:rFonts w:ascii="Arial" w:hAnsi="Arial" w:cs="Arial"/>
                <w:b/>
                <w:bCs/>
                <w:sz w:val="20"/>
                <w:lang w:eastAsia="bg-BG"/>
              </w:rPr>
            </w:pPr>
          </w:p>
        </w:tc>
      </w:tr>
      <w:tr w:rsidR="00476CAF" w:rsidRPr="00F422BC" w14:paraId="74320A24" w14:textId="77777777" w:rsidTr="00953F43">
        <w:trPr>
          <w:trHeight w:val="264"/>
        </w:trPr>
        <w:tc>
          <w:tcPr>
            <w:tcW w:w="2084" w:type="pct"/>
            <w:tcBorders>
              <w:top w:val="nil"/>
              <w:left w:val="single" w:sz="4" w:space="0" w:color="auto"/>
              <w:bottom w:val="single" w:sz="4" w:space="0" w:color="auto"/>
              <w:right w:val="nil"/>
            </w:tcBorders>
            <w:noWrap/>
            <w:vAlign w:val="bottom"/>
            <w:hideMark/>
          </w:tcPr>
          <w:p w14:paraId="2EEB8DD8" w14:textId="4445C7A3"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1458" w:type="pct"/>
            <w:tcBorders>
              <w:top w:val="nil"/>
              <w:left w:val="single" w:sz="4" w:space="0" w:color="auto"/>
              <w:bottom w:val="single" w:sz="4" w:space="0" w:color="auto"/>
              <w:right w:val="nil"/>
            </w:tcBorders>
            <w:shd w:val="clear" w:color="000000" w:fill="FFFFFF"/>
            <w:noWrap/>
            <w:vAlign w:val="bottom"/>
            <w:hideMark/>
          </w:tcPr>
          <w:p w14:paraId="1DAD641F" w14:textId="4EAA706B"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1FE6CC22" w14:textId="4133999C" w:rsidR="00476CAF" w:rsidRPr="00F422BC" w:rsidRDefault="00476CAF" w:rsidP="00953F43">
            <w:pPr>
              <w:jc w:val="left"/>
              <w:rPr>
                <w:rFonts w:ascii="Arial" w:hAnsi="Arial" w:cs="Arial"/>
                <w:sz w:val="20"/>
                <w:lang w:eastAsia="bg-BG"/>
              </w:rPr>
            </w:pPr>
            <w:r>
              <w:rPr>
                <w:rFonts w:ascii="Arial" w:hAnsi="Arial" w:cs="Arial"/>
                <w:sz w:val="20"/>
                <w:lang w:eastAsia="bg-BG"/>
              </w:rPr>
              <w:t>-</w:t>
            </w:r>
          </w:p>
        </w:tc>
      </w:tr>
      <w:tr w:rsidR="00476CAF" w:rsidRPr="00F422BC" w14:paraId="319A2DC7" w14:textId="77777777" w:rsidTr="00953F43">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3EBC0675"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4E508840" w14:textId="45CB63E1"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5</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0287DF9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   </w:t>
            </w:r>
          </w:p>
        </w:tc>
      </w:tr>
    </w:tbl>
    <w:p w14:paraId="740F3A6E" w14:textId="3292BB06" w:rsidR="00476CAF" w:rsidRDefault="00476CAF" w:rsidP="003A1B5D">
      <w:pPr>
        <w:rPr>
          <w:rFonts w:ascii="Arial" w:hAnsi="Arial" w:cs="Arial"/>
          <w:b/>
          <w:szCs w:val="22"/>
          <w:lang w:val="en-US"/>
        </w:rPr>
      </w:pPr>
    </w:p>
    <w:p w14:paraId="4F8D0860" w14:textId="77777777" w:rsidR="00074156" w:rsidRDefault="00074156" w:rsidP="003A1B5D">
      <w:pPr>
        <w:rPr>
          <w:rFonts w:ascii="Arial" w:hAnsi="Arial" w:cs="Arial"/>
          <w:b/>
          <w:szCs w:val="22"/>
          <w:lang w:val="en-US"/>
        </w:rPr>
      </w:pPr>
    </w:p>
    <w:tbl>
      <w:tblPr>
        <w:tblW w:w="5000" w:type="pct"/>
        <w:tblCellMar>
          <w:left w:w="70" w:type="dxa"/>
          <w:right w:w="70" w:type="dxa"/>
        </w:tblCellMar>
        <w:tblLook w:val="04A0" w:firstRow="1" w:lastRow="0" w:firstColumn="1" w:lastColumn="0" w:noHBand="0" w:noVBand="1"/>
      </w:tblPr>
      <w:tblGrid>
        <w:gridCol w:w="2546"/>
        <w:gridCol w:w="1789"/>
        <w:gridCol w:w="1663"/>
        <w:gridCol w:w="1698"/>
        <w:gridCol w:w="1761"/>
      </w:tblGrid>
      <w:tr w:rsidR="00476CAF" w:rsidRPr="00F422BC" w14:paraId="083568CA" w14:textId="77777777" w:rsidTr="00953F43">
        <w:trPr>
          <w:trHeight w:val="264"/>
        </w:trPr>
        <w:tc>
          <w:tcPr>
            <w:tcW w:w="5000" w:type="pct"/>
            <w:gridSpan w:val="5"/>
            <w:tcBorders>
              <w:top w:val="single" w:sz="4" w:space="0" w:color="auto"/>
              <w:left w:val="single" w:sz="4" w:space="0" w:color="auto"/>
              <w:bottom w:val="single" w:sz="4" w:space="0" w:color="auto"/>
              <w:right w:val="single" w:sz="4" w:space="0" w:color="000000"/>
            </w:tcBorders>
            <w:noWrap/>
            <w:vAlign w:val="bottom"/>
            <w:hideMark/>
          </w:tcPr>
          <w:p w14:paraId="086E3D61" w14:textId="37F4F0E4"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Начислени разходи лихви и задължения за лихви по заеми, получени от свързани лица </w:t>
            </w:r>
            <w:r w:rsidR="00A55AC8">
              <w:rPr>
                <w:rFonts w:ascii="Arial" w:hAnsi="Arial" w:cs="Arial"/>
                <w:b/>
                <w:bCs/>
                <w:sz w:val="20"/>
                <w:lang w:eastAsia="bg-BG"/>
              </w:rPr>
              <w:t xml:space="preserve">извън </w:t>
            </w:r>
            <w:r w:rsidRPr="00F422BC">
              <w:rPr>
                <w:rFonts w:ascii="Arial" w:hAnsi="Arial" w:cs="Arial"/>
                <w:b/>
                <w:bCs/>
                <w:sz w:val="20"/>
                <w:lang w:eastAsia="bg-BG"/>
              </w:rPr>
              <w:t xml:space="preserve"> групата</w:t>
            </w:r>
            <w:r>
              <w:rPr>
                <w:rFonts w:ascii="Arial" w:hAnsi="Arial" w:cs="Arial"/>
                <w:b/>
                <w:bCs/>
                <w:sz w:val="20"/>
                <w:lang w:eastAsia="bg-BG"/>
              </w:rPr>
              <w:t xml:space="preserve"> – текуща година</w:t>
            </w:r>
          </w:p>
        </w:tc>
      </w:tr>
      <w:tr w:rsidR="00901C98" w:rsidRPr="00F422BC" w14:paraId="3E146D73" w14:textId="77777777" w:rsidTr="00953F43">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01C9D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53A97A13"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27BD087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19FB783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5F403A96"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61D26538" w14:textId="77777777" w:rsidTr="00953F43">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30B7B044" w14:textId="77777777" w:rsidR="00476CAF" w:rsidRPr="00F422BC" w:rsidRDefault="00476CAF" w:rsidP="00953F43">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11F1F23A" w14:textId="75DFB628" w:rsidR="00476CAF" w:rsidRPr="00F422BC" w:rsidRDefault="00476CAF" w:rsidP="00953F43">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09E66687" w14:textId="6F7FA90F" w:rsidR="00476CAF" w:rsidRPr="00F422BC" w:rsidRDefault="00901C98" w:rsidP="00953F43">
            <w:pPr>
              <w:jc w:val="left"/>
              <w:rPr>
                <w:rFonts w:ascii="Arial" w:hAnsi="Arial" w:cs="Arial"/>
                <w:b/>
                <w:bCs/>
                <w:sz w:val="20"/>
                <w:lang w:eastAsia="bg-BG"/>
              </w:rPr>
            </w:pPr>
            <w:r>
              <w:rPr>
                <w:rFonts w:ascii="Arial" w:hAnsi="Arial" w:cs="Arial"/>
                <w:b/>
                <w:bCs/>
                <w:sz w:val="20"/>
                <w:lang w:eastAsia="bg-BG"/>
              </w:rPr>
              <w:t xml:space="preserve"> 2025г</w:t>
            </w:r>
          </w:p>
        </w:tc>
        <w:tc>
          <w:tcPr>
            <w:tcW w:w="896" w:type="pct"/>
            <w:tcBorders>
              <w:top w:val="nil"/>
              <w:left w:val="single" w:sz="4" w:space="0" w:color="auto"/>
              <w:bottom w:val="single" w:sz="4" w:space="0" w:color="auto"/>
              <w:right w:val="nil"/>
            </w:tcBorders>
            <w:shd w:val="clear" w:color="000000" w:fill="FFFFFF"/>
            <w:noWrap/>
            <w:vAlign w:val="bottom"/>
            <w:hideMark/>
          </w:tcPr>
          <w:p w14:paraId="66F7F925" w14:textId="0F859871" w:rsidR="00476CAF" w:rsidRPr="00F422BC" w:rsidRDefault="00901C98" w:rsidP="00953F43">
            <w:pPr>
              <w:jc w:val="left"/>
              <w:rPr>
                <w:rFonts w:ascii="Arial" w:hAnsi="Arial" w:cs="Arial"/>
                <w:b/>
                <w:bCs/>
                <w:sz w:val="20"/>
                <w:lang w:eastAsia="bg-BG"/>
              </w:rPr>
            </w:pPr>
            <w:r>
              <w:rPr>
                <w:rFonts w:ascii="Arial" w:hAnsi="Arial" w:cs="Arial"/>
                <w:b/>
                <w:bCs/>
                <w:sz w:val="20"/>
                <w:lang w:eastAsia="bg-BG"/>
              </w:rPr>
              <w:t>2025г</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521DF1CF" w14:textId="355EC4FD"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3</w:t>
            </w:r>
            <w:r w:rsidR="00A24136">
              <w:rPr>
                <w:rFonts w:ascii="Arial" w:hAnsi="Arial" w:cs="Arial"/>
                <w:b/>
                <w:bCs/>
                <w:sz w:val="20"/>
                <w:lang w:eastAsia="bg-BG"/>
              </w:rPr>
              <w:t>1</w:t>
            </w:r>
            <w:r w:rsidRPr="00F422BC">
              <w:rPr>
                <w:rFonts w:ascii="Arial" w:hAnsi="Arial" w:cs="Arial"/>
                <w:b/>
                <w:bCs/>
                <w:sz w:val="20"/>
                <w:lang w:eastAsia="bg-BG"/>
              </w:rPr>
              <w:t>.</w:t>
            </w:r>
            <w:r w:rsidR="00A24136">
              <w:rPr>
                <w:rFonts w:ascii="Arial" w:hAnsi="Arial" w:cs="Arial"/>
                <w:b/>
                <w:bCs/>
                <w:sz w:val="20"/>
                <w:lang w:eastAsia="bg-BG"/>
              </w:rPr>
              <w:t>12</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9F9672C" w14:textId="77777777" w:rsidTr="00953F43">
        <w:trPr>
          <w:trHeight w:val="264"/>
        </w:trPr>
        <w:tc>
          <w:tcPr>
            <w:tcW w:w="1352" w:type="pct"/>
            <w:tcBorders>
              <w:top w:val="nil"/>
              <w:left w:val="single" w:sz="4" w:space="0" w:color="auto"/>
              <w:bottom w:val="single" w:sz="4" w:space="0" w:color="auto"/>
              <w:right w:val="nil"/>
            </w:tcBorders>
            <w:noWrap/>
            <w:vAlign w:val="bottom"/>
            <w:hideMark/>
          </w:tcPr>
          <w:p w14:paraId="5F81F912" w14:textId="4EDB870C" w:rsidR="00476CAF" w:rsidRPr="00F422BC" w:rsidRDefault="00476CAF" w:rsidP="00953F43">
            <w:pPr>
              <w:jc w:val="left"/>
              <w:rPr>
                <w:rFonts w:ascii="Arial" w:hAnsi="Arial" w:cs="Arial"/>
                <w:sz w:val="20"/>
                <w:lang w:eastAsia="bg-BG"/>
              </w:rPr>
            </w:pPr>
            <w:r>
              <w:rPr>
                <w:rFonts w:ascii="Arial" w:hAnsi="Arial" w:cs="Arial"/>
                <w:sz w:val="20"/>
                <w:lang w:eastAsia="bg-BG"/>
              </w:rPr>
              <w:lastRenderedPageBreak/>
              <w:t>Бългериън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183D1EAE" w14:textId="0BBA3F99"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c>
          <w:tcPr>
            <w:tcW w:w="877" w:type="pct"/>
            <w:tcBorders>
              <w:top w:val="nil"/>
              <w:left w:val="single" w:sz="4" w:space="0" w:color="auto"/>
              <w:bottom w:val="single" w:sz="4" w:space="0" w:color="auto"/>
              <w:right w:val="nil"/>
            </w:tcBorders>
            <w:shd w:val="clear" w:color="000000" w:fill="FFFFFF"/>
            <w:noWrap/>
            <w:vAlign w:val="bottom"/>
            <w:hideMark/>
          </w:tcPr>
          <w:p w14:paraId="7BCEA557" w14:textId="2C9DD5D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w:t>
            </w:r>
          </w:p>
        </w:tc>
        <w:tc>
          <w:tcPr>
            <w:tcW w:w="896" w:type="pct"/>
            <w:tcBorders>
              <w:top w:val="nil"/>
              <w:left w:val="single" w:sz="4" w:space="0" w:color="auto"/>
              <w:bottom w:val="single" w:sz="4" w:space="0" w:color="auto"/>
              <w:right w:val="nil"/>
            </w:tcBorders>
            <w:shd w:val="clear" w:color="000000" w:fill="FFFFFF"/>
            <w:noWrap/>
            <w:vAlign w:val="bottom"/>
            <w:hideMark/>
          </w:tcPr>
          <w:p w14:paraId="41A9FA49" w14:textId="646229A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30F389C7" w14:textId="10BF8338"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1</w:t>
            </w:r>
            <w:r w:rsidRPr="00F422BC">
              <w:rPr>
                <w:rFonts w:ascii="Arial" w:hAnsi="Arial" w:cs="Arial"/>
                <w:sz w:val="20"/>
                <w:lang w:eastAsia="bg-BG"/>
              </w:rPr>
              <w:t xml:space="preserve"> </w:t>
            </w:r>
          </w:p>
        </w:tc>
      </w:tr>
      <w:tr w:rsidR="00901C98" w:rsidRPr="00F422BC" w14:paraId="3DFCE006" w14:textId="77777777" w:rsidTr="00953F43">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FF7A839"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1AFD771D" w14:textId="79D2AC0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p>
        </w:tc>
        <w:tc>
          <w:tcPr>
            <w:tcW w:w="877" w:type="pct"/>
            <w:tcBorders>
              <w:top w:val="nil"/>
              <w:left w:val="single" w:sz="4" w:space="0" w:color="auto"/>
              <w:bottom w:val="single" w:sz="4" w:space="0" w:color="auto"/>
              <w:right w:val="nil"/>
            </w:tcBorders>
            <w:shd w:val="clear" w:color="000000" w:fill="00AEEF"/>
            <w:noWrap/>
            <w:vAlign w:val="bottom"/>
            <w:hideMark/>
          </w:tcPr>
          <w:p w14:paraId="08CF564D" w14:textId="0FEAE9ED"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w:t>
            </w: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152E7562" w14:textId="218A501B"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 xml:space="preserve">  -</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3259E6ED" w14:textId="5AA7DC36"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1</w:t>
            </w:r>
            <w:r w:rsidRPr="00F422BC">
              <w:rPr>
                <w:rFonts w:ascii="Arial" w:hAnsi="Arial" w:cs="Arial"/>
                <w:b/>
                <w:bCs/>
                <w:sz w:val="20"/>
                <w:lang w:eastAsia="bg-BG"/>
              </w:rPr>
              <w:t xml:space="preserve"> </w:t>
            </w:r>
          </w:p>
        </w:tc>
      </w:tr>
      <w:bookmarkEnd w:id="170"/>
    </w:tbl>
    <w:p w14:paraId="421DB324" w14:textId="77777777" w:rsidR="00476CAF" w:rsidRDefault="00476CAF" w:rsidP="003A1B5D">
      <w:pPr>
        <w:rPr>
          <w:rFonts w:ascii="Arial" w:hAnsi="Arial" w:cs="Arial"/>
          <w:b/>
          <w:szCs w:val="22"/>
        </w:rPr>
      </w:pPr>
    </w:p>
    <w:p w14:paraId="1098BD6C" w14:textId="77777777" w:rsidR="009D784E" w:rsidRDefault="009D784E" w:rsidP="003A1B5D">
      <w:pPr>
        <w:rPr>
          <w:rFonts w:ascii="Arial" w:hAnsi="Arial" w:cs="Arial"/>
          <w:b/>
          <w:szCs w:val="22"/>
        </w:rPr>
      </w:pPr>
    </w:p>
    <w:p w14:paraId="0F4B1867" w14:textId="77777777" w:rsidR="009D784E" w:rsidRDefault="009D784E" w:rsidP="003A1B5D">
      <w:pPr>
        <w:rPr>
          <w:rFonts w:ascii="Arial" w:hAnsi="Arial" w:cs="Arial"/>
          <w:b/>
          <w:szCs w:val="22"/>
        </w:rPr>
      </w:pPr>
    </w:p>
    <w:p w14:paraId="7AA8C5CD" w14:textId="77777777" w:rsidR="009D784E" w:rsidRPr="009D784E" w:rsidRDefault="009D784E" w:rsidP="003A1B5D">
      <w:pPr>
        <w:rPr>
          <w:rFonts w:ascii="Arial" w:hAnsi="Arial" w:cs="Arial"/>
          <w:b/>
          <w:szCs w:val="22"/>
        </w:rPr>
      </w:pPr>
    </w:p>
    <w:tbl>
      <w:tblPr>
        <w:tblW w:w="5018" w:type="pct"/>
        <w:tblCellMar>
          <w:left w:w="70" w:type="dxa"/>
          <w:right w:w="70" w:type="dxa"/>
        </w:tblCellMar>
        <w:tblLook w:val="04A0" w:firstRow="1" w:lastRow="0" w:firstColumn="1" w:lastColumn="0" w:noHBand="0" w:noVBand="1"/>
      </w:tblPr>
      <w:tblGrid>
        <w:gridCol w:w="4074"/>
        <w:gridCol w:w="2815"/>
        <w:gridCol w:w="2602"/>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vAlign w:val="bottom"/>
            <w:hideMark/>
          </w:tcPr>
          <w:p w14:paraId="1E426BAD" w14:textId="0A6BD4B2"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614ED5" w:rsidRPr="00CA29CF">
              <w:rPr>
                <w:rFonts w:ascii="Arial" w:hAnsi="Arial" w:cs="Arial"/>
                <w:b/>
                <w:bCs/>
                <w:sz w:val="20"/>
                <w:lang w:eastAsia="bg-BG"/>
              </w:rPr>
              <w:t>към 3</w:t>
            </w:r>
            <w:r w:rsidR="00A24136">
              <w:rPr>
                <w:rFonts w:ascii="Arial" w:hAnsi="Arial" w:cs="Arial"/>
                <w:b/>
                <w:bCs/>
                <w:sz w:val="20"/>
                <w:lang w:eastAsia="bg-BG"/>
              </w:rPr>
              <w:t>1</w:t>
            </w:r>
            <w:r w:rsidR="00614ED5" w:rsidRPr="00CA29CF">
              <w:rPr>
                <w:rFonts w:ascii="Arial" w:hAnsi="Arial" w:cs="Arial"/>
                <w:b/>
                <w:bCs/>
                <w:sz w:val="20"/>
                <w:lang w:eastAsia="bg-BG"/>
              </w:rPr>
              <w:t>.</w:t>
            </w:r>
            <w:r w:rsidR="00A24136">
              <w:rPr>
                <w:rFonts w:ascii="Arial" w:hAnsi="Arial" w:cs="Arial"/>
                <w:b/>
                <w:bCs/>
                <w:sz w:val="20"/>
                <w:lang w:eastAsia="bg-BG"/>
              </w:rPr>
              <w:t>12</w:t>
            </w:r>
            <w:r w:rsidR="00614ED5" w:rsidRPr="00CA29CF">
              <w:rPr>
                <w:rFonts w:ascii="Arial" w:hAnsi="Arial" w:cs="Arial"/>
                <w:b/>
                <w:bCs/>
                <w:sz w:val="20"/>
                <w:lang w:eastAsia="bg-BG"/>
              </w:rPr>
              <w:t>.202</w:t>
            </w:r>
            <w:r w:rsidR="00901C98">
              <w:rPr>
                <w:rFonts w:ascii="Arial" w:hAnsi="Arial" w:cs="Arial"/>
                <w:b/>
                <w:bCs/>
                <w:sz w:val="20"/>
                <w:lang w:eastAsia="bg-BG"/>
              </w:rPr>
              <w:t>5</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10"/>
        <w:gridCol w:w="1982"/>
        <w:gridCol w:w="1445"/>
        <w:gridCol w:w="1562"/>
        <w:gridCol w:w="1668"/>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242DA89C"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3</w:t>
            </w:r>
            <w:r w:rsidR="00A24136">
              <w:rPr>
                <w:rFonts w:ascii="Arial" w:hAnsi="Arial" w:cs="Arial"/>
                <w:b/>
                <w:bCs/>
                <w:sz w:val="20"/>
                <w:lang w:eastAsia="bg-BG"/>
              </w:rPr>
              <w:t>1</w:t>
            </w:r>
            <w:r w:rsidRPr="00CA29CF">
              <w:rPr>
                <w:rFonts w:ascii="Arial" w:hAnsi="Arial" w:cs="Arial"/>
                <w:b/>
                <w:bCs/>
                <w:sz w:val="20"/>
                <w:lang w:eastAsia="bg-BG"/>
              </w:rPr>
              <w:t>.</w:t>
            </w:r>
            <w:r w:rsidR="00A24136">
              <w:rPr>
                <w:rFonts w:ascii="Arial" w:hAnsi="Arial" w:cs="Arial"/>
                <w:b/>
                <w:bCs/>
                <w:sz w:val="20"/>
                <w:lang w:eastAsia="bg-BG"/>
              </w:rPr>
              <w:t>12</w:t>
            </w:r>
            <w:r w:rsidR="00614ED5" w:rsidRPr="00CA29CF">
              <w:rPr>
                <w:rFonts w:ascii="Arial" w:hAnsi="Arial" w:cs="Arial"/>
                <w:b/>
                <w:bCs/>
                <w:sz w:val="20"/>
                <w:lang w:eastAsia="bg-BG"/>
              </w:rPr>
              <w:t>.202</w:t>
            </w:r>
            <w:r w:rsidR="00901C98">
              <w:rPr>
                <w:rFonts w:ascii="Arial" w:hAnsi="Arial" w:cs="Arial"/>
                <w:b/>
                <w:bCs/>
                <w:sz w:val="20"/>
                <w:lang w:eastAsia="bg-BG"/>
              </w:rPr>
              <w:t>5</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22C2FEF8" w:rsidR="00FA2356" w:rsidRPr="00CA29CF" w:rsidRDefault="00614ED5" w:rsidP="00FB382B">
            <w:pPr>
              <w:jc w:val="left"/>
              <w:rPr>
                <w:rFonts w:ascii="Arial" w:hAnsi="Arial" w:cs="Arial"/>
                <w:b/>
                <w:bCs/>
                <w:sz w:val="20"/>
                <w:lang w:eastAsia="bg-BG"/>
              </w:rPr>
            </w:pPr>
            <w:r w:rsidRPr="00CA29CF">
              <w:rPr>
                <w:rFonts w:ascii="Arial" w:hAnsi="Arial" w:cs="Arial"/>
                <w:b/>
                <w:bCs/>
                <w:sz w:val="20"/>
                <w:lang w:eastAsia="bg-BG"/>
              </w:rPr>
              <w:t>31.12.202</w:t>
            </w:r>
            <w:r w:rsidR="00901C98">
              <w:rPr>
                <w:rFonts w:ascii="Arial" w:hAnsi="Arial" w:cs="Arial"/>
                <w:b/>
                <w:bCs/>
                <w:sz w:val="20"/>
                <w:lang w:eastAsia="bg-BG"/>
              </w:rPr>
              <w:t>4</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4231DC2D"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w:t>
            </w:r>
            <w:r w:rsidR="00B2291C">
              <w:rPr>
                <w:rFonts w:ascii="Arial" w:hAnsi="Arial" w:cs="Arial"/>
                <w:sz w:val="20"/>
                <w:lang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1D15690F"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1DA91136" w:rsidR="00FA2356" w:rsidRPr="00CA29CF" w:rsidRDefault="00901C98" w:rsidP="00FB382B">
            <w:pPr>
              <w:jc w:val="right"/>
              <w:rPr>
                <w:rFonts w:ascii="Arial" w:hAnsi="Arial" w:cs="Arial"/>
                <w:sz w:val="20"/>
                <w:lang w:eastAsia="bg-BG"/>
              </w:rPr>
            </w:pPr>
            <w:r>
              <w:rPr>
                <w:rFonts w:ascii="Arial" w:hAnsi="Arial" w:cs="Arial"/>
                <w:sz w:val="20"/>
                <w:lang w:eastAsia="bg-BG"/>
              </w:rPr>
              <w:t>6</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554A3D04" w:rsidR="00FA2356" w:rsidRPr="00CA29CF" w:rsidRDefault="00FA2356" w:rsidP="00FB382B">
            <w:pPr>
              <w:jc w:val="right"/>
              <w:rPr>
                <w:rFonts w:ascii="Arial" w:hAnsi="Arial" w:cs="Arial"/>
                <w:sz w:val="20"/>
                <w:lang w:eastAsia="bg-BG"/>
              </w:rPr>
            </w:pP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0C9B198" w:rsidR="00FA2356" w:rsidRPr="00B2291C" w:rsidRDefault="00B2291C" w:rsidP="00FB382B">
            <w:pPr>
              <w:jc w:val="right"/>
              <w:rPr>
                <w:rFonts w:ascii="Arial" w:hAnsi="Arial" w:cs="Arial"/>
                <w:b/>
                <w:bCs/>
                <w:sz w:val="20"/>
                <w:lang w:eastAsia="bg-BG"/>
              </w:rPr>
            </w:pPr>
            <w:r>
              <w:rPr>
                <w:rFonts w:ascii="Arial" w:hAnsi="Arial" w:cs="Arial"/>
                <w:b/>
                <w:bCs/>
                <w:sz w:val="20"/>
                <w:lang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596C3765"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6D81869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r w:rsidR="00901C98">
              <w:rPr>
                <w:rFonts w:ascii="Arial" w:hAnsi="Arial" w:cs="Arial"/>
                <w:b/>
                <w:bCs/>
                <w:sz w:val="20"/>
                <w:lang w:eastAsia="bg-BG"/>
              </w:rPr>
              <w:t>6</w:t>
            </w:r>
            <w:r w:rsidRPr="00CA29C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70F3E8A" w:rsidR="00FA2356" w:rsidRPr="00CA29CF" w:rsidRDefault="00FA2356" w:rsidP="00FB382B">
            <w:pPr>
              <w:jc w:val="right"/>
              <w:rPr>
                <w:rFonts w:ascii="Arial" w:hAnsi="Arial" w:cs="Arial"/>
                <w:b/>
                <w:bCs/>
                <w:sz w:val="20"/>
                <w:lang w:eastAsia="bg-BG"/>
              </w:rPr>
            </w:pPr>
          </w:p>
        </w:tc>
      </w:tr>
      <w:bookmarkEnd w:id="16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34DB7A4F" w:rsidR="003A1B5D" w:rsidRPr="00B14C47" w:rsidRDefault="00E2262A" w:rsidP="003A1B5D">
      <w:pPr>
        <w:pStyle w:val="Heading2"/>
        <w:spacing w:before="0"/>
        <w:rPr>
          <w:rFonts w:ascii="Arial" w:hAnsi="Arial" w:cs="Arial"/>
          <w:b w:val="0"/>
          <w:bCs w:val="0"/>
          <w:color w:val="auto"/>
          <w:sz w:val="20"/>
          <w:szCs w:val="20"/>
          <w:lang w:val="bg-BG"/>
        </w:rPr>
      </w:pPr>
      <w:bookmarkStart w:id="171" w:name="_Toc96871914"/>
      <w:bookmarkStart w:id="172" w:name="_Toc129350905"/>
      <w:bookmarkStart w:id="173" w:name="_Toc160806748"/>
      <w:bookmarkStart w:id="174" w:name="_Toc195005038"/>
      <w:r>
        <w:rPr>
          <w:rFonts w:ascii="Arial" w:hAnsi="Arial" w:cs="Arial"/>
          <w:b w:val="0"/>
          <w:bCs w:val="0"/>
          <w:color w:val="auto"/>
          <w:sz w:val="20"/>
          <w:szCs w:val="20"/>
          <w:lang w:val="bg-BG"/>
        </w:rPr>
        <w:t xml:space="preserve">За периода </w:t>
      </w:r>
      <w:r w:rsidR="00074156">
        <w:rPr>
          <w:rFonts w:ascii="Arial" w:hAnsi="Arial" w:cs="Arial"/>
          <w:b w:val="0"/>
          <w:bCs w:val="0"/>
          <w:color w:val="auto"/>
          <w:sz w:val="20"/>
          <w:szCs w:val="20"/>
          <w:lang w:val="bg-BG"/>
        </w:rPr>
        <w:t>към 3</w:t>
      </w:r>
      <w:r w:rsidR="00A24136">
        <w:rPr>
          <w:rFonts w:ascii="Arial" w:hAnsi="Arial" w:cs="Arial"/>
          <w:b w:val="0"/>
          <w:bCs w:val="0"/>
          <w:color w:val="auto"/>
          <w:sz w:val="20"/>
          <w:szCs w:val="20"/>
          <w:lang w:val="bg-BG"/>
        </w:rPr>
        <w:t>1</w:t>
      </w:r>
      <w:r w:rsidR="00074156">
        <w:rPr>
          <w:rFonts w:ascii="Arial" w:hAnsi="Arial" w:cs="Arial"/>
          <w:b w:val="0"/>
          <w:bCs w:val="0"/>
          <w:color w:val="auto"/>
          <w:sz w:val="20"/>
          <w:szCs w:val="20"/>
          <w:lang w:val="bg-BG"/>
        </w:rPr>
        <w:t>.</w:t>
      </w:r>
      <w:r w:rsidR="00A24136">
        <w:rPr>
          <w:rFonts w:ascii="Arial" w:hAnsi="Arial" w:cs="Arial"/>
          <w:b w:val="0"/>
          <w:bCs w:val="0"/>
          <w:color w:val="auto"/>
          <w:sz w:val="20"/>
          <w:szCs w:val="20"/>
          <w:lang w:val="bg-BG"/>
        </w:rPr>
        <w:t>12</w:t>
      </w:r>
      <w:r w:rsidR="00074156">
        <w:rPr>
          <w:rFonts w:ascii="Arial" w:hAnsi="Arial" w:cs="Arial"/>
          <w:b w:val="0"/>
          <w:bCs w:val="0"/>
          <w:color w:val="auto"/>
          <w:sz w:val="20"/>
          <w:szCs w:val="20"/>
          <w:lang w:val="bg-BG"/>
        </w:rPr>
        <w:t>.2025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71"/>
      <w:bookmarkEnd w:id="172"/>
      <w:bookmarkEnd w:id="173"/>
      <w:bookmarkEnd w:id="174"/>
    </w:p>
    <w:bookmarkEnd w:id="168"/>
    <w:p w14:paraId="2A6C373A" w14:textId="77777777" w:rsidR="00FB735B" w:rsidRPr="00B14C47" w:rsidRDefault="00FB735B" w:rsidP="00FB735B"/>
    <w:p w14:paraId="148F7055" w14:textId="77777777" w:rsidR="00B66DF8" w:rsidRPr="00B14C47" w:rsidRDefault="00556B2F" w:rsidP="00B66DF8">
      <w:pPr>
        <w:pStyle w:val="Heading2"/>
        <w:spacing w:before="0"/>
        <w:rPr>
          <w:rFonts w:ascii="Arial" w:hAnsi="Arial" w:cs="Arial"/>
          <w:i/>
          <w:sz w:val="20"/>
          <w:szCs w:val="20"/>
          <w:lang w:val="bg-BG"/>
        </w:rPr>
      </w:pPr>
      <w:bookmarkStart w:id="175" w:name="_Toc195005039"/>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5"/>
      <w:bookmarkEnd w:id="166"/>
      <w:bookmarkEnd w:id="167"/>
      <w:bookmarkEnd w:id="17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76" w:name="_Toc247959210"/>
      <w:bookmarkStart w:id="177" w:name="_Toc473125072"/>
      <w:bookmarkStart w:id="178" w:name="_Toc4683432"/>
      <w:bookmarkStart w:id="179" w:name="_Toc4685326"/>
      <w:bookmarkStart w:id="180" w:name="_Toc4692220"/>
      <w:bookmarkStart w:id="181" w:name="_Toc67568192"/>
      <w:bookmarkStart w:id="182" w:name="_Toc96871916"/>
      <w:bookmarkStart w:id="183" w:name="_Toc129350907"/>
      <w:bookmarkStart w:id="184" w:name="_Toc160806750"/>
      <w:bookmarkStart w:id="185" w:name="_Toc195005040"/>
      <w:r w:rsidRPr="00B14C47">
        <w:rPr>
          <w:rFonts w:ascii="Arial" w:hAnsi="Arial" w:cs="Arial"/>
          <w:b w:val="0"/>
          <w:bCs w:val="0"/>
          <w:i/>
          <w:iCs/>
          <w:sz w:val="20"/>
          <w:szCs w:val="20"/>
        </w:rPr>
        <w:t>Оценка</w:t>
      </w:r>
      <w:bookmarkEnd w:id="176"/>
      <w:bookmarkEnd w:id="177"/>
      <w:bookmarkEnd w:id="178"/>
      <w:bookmarkEnd w:id="179"/>
      <w:bookmarkEnd w:id="180"/>
      <w:bookmarkEnd w:id="181"/>
      <w:bookmarkEnd w:id="182"/>
      <w:bookmarkEnd w:id="183"/>
      <w:bookmarkEnd w:id="184"/>
      <w:bookmarkEnd w:id="185"/>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6"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728C18B6" w:rsidR="007A6EDF" w:rsidRPr="00B14C47" w:rsidRDefault="00EC17E2" w:rsidP="00EC17E2">
      <w:pPr>
        <w:pStyle w:val="BodyText"/>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1 030 хил.лв. </w:t>
      </w:r>
      <w:r w:rsidRPr="00B14C47">
        <w:rPr>
          <w:rFonts w:ascii="Arial" w:hAnsi="Arial" w:cs="Arial"/>
          <w:sz w:val="20"/>
          <w:szCs w:val="20"/>
        </w:rPr>
        <w:t>(</w:t>
      </w:r>
      <w:r w:rsidRPr="00B14C47">
        <w:rPr>
          <w:rFonts w:ascii="Arial" w:hAnsi="Arial" w:cs="Arial"/>
          <w:sz w:val="20"/>
          <w:szCs w:val="20"/>
          <w:lang w:val="bg-BG"/>
        </w:rPr>
        <w:t>от общо 1 045 хил.лв.</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w:t>
      </w:r>
      <w:r w:rsidRPr="00B14C47">
        <w:rPr>
          <w:rFonts w:ascii="Arial" w:hAnsi="Arial" w:cs="Arial"/>
          <w:sz w:val="20"/>
          <w:szCs w:val="20"/>
          <w:lang w:val="bg-BG"/>
        </w:rPr>
        <w:lastRenderedPageBreak/>
        <w:t>лица придобити чрез цесии на стойност 5 174 хил.лв.</w:t>
      </w:r>
      <w:r w:rsidRPr="00B14C47">
        <w:rPr>
          <w:rFonts w:ascii="Arial" w:hAnsi="Arial" w:cs="Arial"/>
          <w:sz w:val="20"/>
          <w:szCs w:val="20"/>
        </w:rPr>
        <w:t xml:space="preserve"> (</w:t>
      </w:r>
      <w:r w:rsidRPr="00B14C47">
        <w:rPr>
          <w:rFonts w:ascii="Arial" w:hAnsi="Arial" w:cs="Arial"/>
          <w:sz w:val="20"/>
          <w:szCs w:val="20"/>
          <w:lang w:val="bg-BG"/>
        </w:rPr>
        <w:t xml:space="preserve">от </w:t>
      </w:r>
      <w:proofErr w:type="gramStart"/>
      <w:r w:rsidRPr="00B14C47">
        <w:rPr>
          <w:rFonts w:ascii="Arial" w:hAnsi="Arial" w:cs="Arial"/>
          <w:sz w:val="20"/>
          <w:szCs w:val="20"/>
          <w:lang w:val="bg-BG"/>
        </w:rPr>
        <w:t>общо  5</w:t>
      </w:r>
      <w:proofErr w:type="gramEnd"/>
      <w:r w:rsidRPr="00B14C47">
        <w:rPr>
          <w:rFonts w:ascii="Arial" w:hAnsi="Arial" w:cs="Arial"/>
          <w:sz w:val="20"/>
          <w:szCs w:val="20"/>
          <w:lang w:val="bg-BG"/>
        </w:rPr>
        <w:t xml:space="preserve"> 272 хил.лв.</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41 хил.лв. за заемите и 669 хил.лв.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Към 31.12.2018г. е извършена оценка на вземанията по договори за цесия отчитани по справедлива стойност. Признатата обезценка е в размер на 3 хил.лв. Към 31 декември 2019г. е призната обезценка на вземанията по договори за цесия в размер на 4 хил.лв.</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311C926E" w14:textId="77777777" w:rsidR="006B1EE4" w:rsidRDefault="006B1EE4" w:rsidP="00EC17E2">
      <w:pPr>
        <w:pStyle w:val="BodyText"/>
        <w:spacing w:after="0"/>
        <w:rPr>
          <w:rFonts w:ascii="Arial" w:hAnsi="Arial" w:cs="Arial"/>
          <w:sz w:val="20"/>
          <w:szCs w:val="20"/>
          <w:lang w:val="bg-BG"/>
        </w:rPr>
      </w:pPr>
    </w:p>
    <w:p w14:paraId="0A7D9D1D" w14:textId="124828E4" w:rsidR="00A24136" w:rsidRDefault="00A24136" w:rsidP="00EC17E2">
      <w:pPr>
        <w:pStyle w:val="BodyText"/>
        <w:spacing w:after="0"/>
        <w:rPr>
          <w:rFonts w:ascii="Arial" w:hAnsi="Arial" w:cs="Arial"/>
          <w:sz w:val="20"/>
          <w:szCs w:val="20"/>
          <w:lang w:val="bg-BG"/>
        </w:rPr>
      </w:pPr>
      <w:r>
        <w:rPr>
          <w:rFonts w:ascii="Arial" w:hAnsi="Arial" w:cs="Arial"/>
          <w:sz w:val="20"/>
          <w:szCs w:val="20"/>
          <w:lang w:val="bg-BG"/>
        </w:rPr>
        <w:t xml:space="preserve">Към 01.12.2025г дружеството е възложило </w:t>
      </w:r>
      <w:r w:rsidRPr="00B14C47">
        <w:rPr>
          <w:rFonts w:ascii="Arial" w:hAnsi="Arial" w:cs="Arial"/>
          <w:sz w:val="20"/>
          <w:szCs w:val="20"/>
          <w:lang w:val="bg-BG"/>
        </w:rPr>
        <w:t>на лицензиран оценител оценка на вземания</w:t>
      </w:r>
      <w:r w:rsidR="006B1EE4">
        <w:rPr>
          <w:rFonts w:ascii="Arial" w:hAnsi="Arial" w:cs="Arial"/>
          <w:sz w:val="20"/>
          <w:szCs w:val="20"/>
          <w:lang w:val="bg-BG"/>
        </w:rPr>
        <w:t>та по договори за цесия и договори за заем</w:t>
      </w:r>
      <w:r>
        <w:rPr>
          <w:rFonts w:ascii="Arial" w:hAnsi="Arial" w:cs="Arial"/>
          <w:sz w:val="20"/>
          <w:szCs w:val="20"/>
          <w:lang w:val="bg-BG"/>
        </w:rPr>
        <w:t>, както следва:</w:t>
      </w:r>
    </w:p>
    <w:p w14:paraId="179AE2B8" w14:textId="77777777" w:rsidR="00A24136" w:rsidRDefault="00A24136" w:rsidP="00EC17E2">
      <w:pPr>
        <w:pStyle w:val="BodyText"/>
        <w:spacing w:after="0"/>
        <w:rPr>
          <w:rFonts w:ascii="Arial" w:hAnsi="Arial" w:cs="Arial"/>
          <w:sz w:val="20"/>
          <w:szCs w:val="20"/>
          <w:lang w:val="bg-BG"/>
        </w:rPr>
      </w:pPr>
    </w:p>
    <w:p w14:paraId="71DEE39B" w14:textId="67FAB33D" w:rsidR="00A24136" w:rsidRDefault="00A24136" w:rsidP="00EC17E2">
      <w:pPr>
        <w:pStyle w:val="BodyText"/>
        <w:spacing w:after="0"/>
        <w:rPr>
          <w:rFonts w:ascii="Arial" w:hAnsi="Arial" w:cs="Arial"/>
          <w:sz w:val="20"/>
          <w:szCs w:val="20"/>
          <w:lang w:val="bg-BG"/>
        </w:rPr>
      </w:pPr>
      <w:r>
        <w:rPr>
          <w:rFonts w:ascii="Arial" w:hAnsi="Arial" w:cs="Arial"/>
          <w:sz w:val="20"/>
          <w:szCs w:val="20"/>
          <w:lang w:val="bg-BG"/>
        </w:rPr>
        <w:t>-вземания по Договори за п</w:t>
      </w:r>
      <w:r w:rsidR="00C4255D">
        <w:rPr>
          <w:rFonts w:ascii="Arial" w:hAnsi="Arial" w:cs="Arial"/>
          <w:sz w:val="20"/>
          <w:szCs w:val="20"/>
          <w:lang w:val="bg-BG"/>
        </w:rPr>
        <w:t>р</w:t>
      </w:r>
      <w:r>
        <w:rPr>
          <w:rFonts w:ascii="Arial" w:hAnsi="Arial" w:cs="Arial"/>
          <w:sz w:val="20"/>
          <w:szCs w:val="20"/>
          <w:lang w:val="bg-BG"/>
        </w:rPr>
        <w:t xml:space="preserve">ехвърляне на вземания от </w:t>
      </w:r>
      <w:r w:rsidR="00C4255D">
        <w:rPr>
          <w:rFonts w:ascii="Arial" w:hAnsi="Arial" w:cs="Arial"/>
          <w:sz w:val="20"/>
          <w:szCs w:val="20"/>
          <w:lang w:val="bg-BG"/>
        </w:rPr>
        <w:t>свързани лица „Витех С</w:t>
      </w:r>
      <w:r w:rsidR="006B1EE4">
        <w:rPr>
          <w:rFonts w:ascii="Arial" w:hAnsi="Arial" w:cs="Arial"/>
          <w:sz w:val="20"/>
          <w:szCs w:val="20"/>
          <w:lang w:val="bg-BG"/>
        </w:rPr>
        <w:t>т</w:t>
      </w:r>
      <w:r w:rsidR="00C4255D">
        <w:rPr>
          <w:rFonts w:ascii="Arial" w:hAnsi="Arial" w:cs="Arial"/>
          <w:sz w:val="20"/>
          <w:szCs w:val="20"/>
          <w:lang w:val="bg-BG"/>
        </w:rPr>
        <w:t xml:space="preserve">рой“ ЕООД </w:t>
      </w:r>
      <w:r>
        <w:rPr>
          <w:rFonts w:ascii="Arial" w:hAnsi="Arial" w:cs="Arial"/>
          <w:sz w:val="20"/>
          <w:szCs w:val="20"/>
          <w:lang w:val="bg-BG"/>
        </w:rPr>
        <w:t xml:space="preserve">  в общ размер на </w:t>
      </w:r>
      <w:r w:rsidR="00C4255D">
        <w:rPr>
          <w:rFonts w:ascii="Arial" w:hAnsi="Arial" w:cs="Arial"/>
          <w:sz w:val="20"/>
          <w:szCs w:val="20"/>
          <w:lang w:val="bg-BG"/>
        </w:rPr>
        <w:t>9 550 хил. лв, от които главници в общ размер на 9 048 хил.лв, представляващи балансово вземане в размер на 8 204 хил. лв и задбалансово вземане в размер на 845 хил. лв и лихви към 30.11.2025г в размер на 502 хил. лв. Справедливата стойност на вземанията съгласно Доклад на лицензиран оценител от 01.</w:t>
      </w:r>
      <w:r w:rsidR="006B1EE4">
        <w:rPr>
          <w:rFonts w:ascii="Arial" w:hAnsi="Arial" w:cs="Arial"/>
          <w:sz w:val="20"/>
          <w:szCs w:val="20"/>
          <w:lang w:val="bg-BG"/>
        </w:rPr>
        <w:t>12</w:t>
      </w:r>
      <w:r w:rsidR="00C4255D">
        <w:rPr>
          <w:rFonts w:ascii="Arial" w:hAnsi="Arial" w:cs="Arial"/>
          <w:sz w:val="20"/>
          <w:szCs w:val="20"/>
          <w:lang w:val="bg-BG"/>
        </w:rPr>
        <w:t>. е определена на 0</w:t>
      </w:r>
      <w:r w:rsidR="006B1EE4">
        <w:rPr>
          <w:rFonts w:ascii="Arial" w:hAnsi="Arial" w:cs="Arial"/>
          <w:sz w:val="20"/>
          <w:szCs w:val="20"/>
          <w:lang w:val="bg-BG"/>
        </w:rPr>
        <w:t xml:space="preserve"> хил.</w:t>
      </w:r>
      <w:r w:rsidR="00C4255D">
        <w:rPr>
          <w:rFonts w:ascii="Arial" w:hAnsi="Arial" w:cs="Arial"/>
          <w:sz w:val="20"/>
          <w:szCs w:val="20"/>
          <w:lang w:val="bg-BG"/>
        </w:rPr>
        <w:t xml:space="preserve"> лева.Признат е разход за обезценка в размер на 8 705 хил.лв</w:t>
      </w:r>
    </w:p>
    <w:p w14:paraId="57865EB2" w14:textId="77777777" w:rsidR="00C4255D" w:rsidRDefault="00C4255D" w:rsidP="00EC17E2">
      <w:pPr>
        <w:pStyle w:val="BodyText"/>
        <w:spacing w:after="0"/>
        <w:rPr>
          <w:rFonts w:ascii="Arial" w:hAnsi="Arial" w:cs="Arial"/>
          <w:sz w:val="20"/>
          <w:szCs w:val="20"/>
          <w:lang w:val="bg-BG"/>
        </w:rPr>
      </w:pPr>
    </w:p>
    <w:p w14:paraId="7AC8E3D8" w14:textId="70176442" w:rsidR="00C4255D" w:rsidRDefault="00C4255D" w:rsidP="00C4255D">
      <w:pPr>
        <w:pStyle w:val="BodyText"/>
        <w:spacing w:after="0"/>
        <w:rPr>
          <w:rFonts w:ascii="Arial" w:hAnsi="Arial" w:cs="Arial"/>
          <w:sz w:val="20"/>
          <w:szCs w:val="20"/>
          <w:lang w:val="bg-BG"/>
        </w:rPr>
      </w:pPr>
      <w:r>
        <w:rPr>
          <w:rFonts w:ascii="Arial" w:hAnsi="Arial" w:cs="Arial"/>
          <w:sz w:val="20"/>
          <w:szCs w:val="20"/>
          <w:lang w:val="bg-BG"/>
        </w:rPr>
        <w:t>-</w:t>
      </w:r>
      <w:r w:rsidRPr="00C4255D">
        <w:rPr>
          <w:rFonts w:ascii="Arial" w:hAnsi="Arial" w:cs="Arial"/>
          <w:sz w:val="20"/>
          <w:szCs w:val="20"/>
          <w:lang w:val="bg-BG"/>
        </w:rPr>
        <w:t xml:space="preserve"> </w:t>
      </w:r>
      <w:r>
        <w:rPr>
          <w:rFonts w:ascii="Arial" w:hAnsi="Arial" w:cs="Arial"/>
          <w:sz w:val="20"/>
          <w:szCs w:val="20"/>
          <w:lang w:val="bg-BG"/>
        </w:rPr>
        <w:t>вземания по Договори за прехвърляне на вземания от други предприятия  „общ размер на 5 359 хил.лв, от които</w:t>
      </w:r>
      <w:r w:rsidR="006B1EE4">
        <w:rPr>
          <w:rFonts w:ascii="Arial" w:hAnsi="Arial" w:cs="Arial"/>
          <w:sz w:val="20"/>
          <w:szCs w:val="20"/>
          <w:lang w:val="bg-BG"/>
        </w:rPr>
        <w:t xml:space="preserve"> балансова стойност в размер 841 хил. лв (балансова стойност 1 165 хил.лв, обезценка, начислена в предходен период 324 хил.лв)</w:t>
      </w:r>
      <w:r>
        <w:rPr>
          <w:rFonts w:ascii="Arial" w:hAnsi="Arial" w:cs="Arial"/>
          <w:sz w:val="20"/>
          <w:szCs w:val="20"/>
          <w:lang w:val="bg-BG"/>
        </w:rPr>
        <w:t>. Справедливата стойност на вземанията съгласно Доклад на лицензиран оценител от 01.</w:t>
      </w:r>
      <w:r w:rsidR="006B1EE4">
        <w:rPr>
          <w:rFonts w:ascii="Arial" w:hAnsi="Arial" w:cs="Arial"/>
          <w:sz w:val="20"/>
          <w:szCs w:val="20"/>
          <w:lang w:val="bg-BG"/>
        </w:rPr>
        <w:t>12</w:t>
      </w:r>
      <w:r>
        <w:rPr>
          <w:rFonts w:ascii="Arial" w:hAnsi="Arial" w:cs="Arial"/>
          <w:sz w:val="20"/>
          <w:szCs w:val="20"/>
          <w:lang w:val="bg-BG"/>
        </w:rPr>
        <w:t xml:space="preserve">. е определена на </w:t>
      </w:r>
      <w:r w:rsidR="006B1EE4">
        <w:rPr>
          <w:rFonts w:ascii="Arial" w:hAnsi="Arial" w:cs="Arial"/>
          <w:sz w:val="20"/>
          <w:szCs w:val="20"/>
          <w:lang w:val="bg-BG"/>
        </w:rPr>
        <w:t>214 хил.</w:t>
      </w:r>
      <w:r>
        <w:rPr>
          <w:rFonts w:ascii="Arial" w:hAnsi="Arial" w:cs="Arial"/>
          <w:sz w:val="20"/>
          <w:szCs w:val="20"/>
          <w:lang w:val="bg-BG"/>
        </w:rPr>
        <w:t xml:space="preserve"> лева.</w:t>
      </w:r>
      <w:r w:rsidR="006B1EE4" w:rsidRPr="006B1EE4">
        <w:rPr>
          <w:rFonts w:ascii="Arial" w:hAnsi="Arial" w:cs="Arial"/>
          <w:sz w:val="20"/>
          <w:szCs w:val="20"/>
          <w:lang w:val="bg-BG"/>
        </w:rPr>
        <w:t xml:space="preserve"> </w:t>
      </w:r>
      <w:r w:rsidR="006B1EE4">
        <w:rPr>
          <w:rFonts w:ascii="Arial" w:hAnsi="Arial" w:cs="Arial"/>
          <w:sz w:val="20"/>
          <w:szCs w:val="20"/>
          <w:lang w:val="bg-BG"/>
        </w:rPr>
        <w:t>Признат е разход за обезценка в размер на 627 хил.лв.</w:t>
      </w:r>
    </w:p>
    <w:p w14:paraId="66BE0615" w14:textId="07D9D2D4" w:rsidR="00C4255D" w:rsidRPr="00A24136" w:rsidRDefault="00C4255D" w:rsidP="00EC17E2">
      <w:pPr>
        <w:pStyle w:val="BodyText"/>
        <w:spacing w:after="0"/>
        <w:rPr>
          <w:rFonts w:ascii="Arial" w:hAnsi="Arial" w:cs="Arial"/>
          <w:sz w:val="20"/>
          <w:szCs w:val="20"/>
        </w:rPr>
      </w:pPr>
    </w:p>
    <w:p w14:paraId="2DE7A73D" w14:textId="2D320858" w:rsidR="006B1EE4" w:rsidRDefault="006B1EE4" w:rsidP="006B1EE4">
      <w:pPr>
        <w:pStyle w:val="BodyText"/>
        <w:spacing w:after="0"/>
        <w:rPr>
          <w:rFonts w:ascii="Arial" w:hAnsi="Arial" w:cs="Arial"/>
          <w:sz w:val="20"/>
          <w:szCs w:val="20"/>
          <w:lang w:val="bg-BG"/>
        </w:rPr>
      </w:pPr>
      <w:r>
        <w:rPr>
          <w:rFonts w:ascii="Arial" w:hAnsi="Arial" w:cs="Arial"/>
          <w:sz w:val="20"/>
          <w:szCs w:val="20"/>
          <w:lang w:val="bg-BG"/>
        </w:rPr>
        <w:t>-</w:t>
      </w:r>
      <w:r w:rsidRPr="00C4255D">
        <w:rPr>
          <w:rFonts w:ascii="Arial" w:hAnsi="Arial" w:cs="Arial"/>
          <w:sz w:val="20"/>
          <w:szCs w:val="20"/>
          <w:lang w:val="bg-BG"/>
        </w:rPr>
        <w:t xml:space="preserve"> </w:t>
      </w:r>
      <w:r>
        <w:rPr>
          <w:rFonts w:ascii="Arial" w:hAnsi="Arial" w:cs="Arial"/>
          <w:sz w:val="20"/>
          <w:szCs w:val="20"/>
          <w:lang w:val="bg-BG"/>
        </w:rPr>
        <w:t>вземания по предоставени краткосрочни заеми на свързани лица в група в размер на 2 хил.лв-  „стойност на вземанията съгласно Доклад на лицензиран оценител от 01.12. е определена на 0 хил. лева.</w:t>
      </w:r>
      <w:r w:rsidRPr="006B1EE4">
        <w:rPr>
          <w:rFonts w:ascii="Arial" w:hAnsi="Arial" w:cs="Arial"/>
          <w:sz w:val="20"/>
          <w:szCs w:val="20"/>
          <w:lang w:val="bg-BG"/>
        </w:rPr>
        <w:t xml:space="preserve"> </w:t>
      </w:r>
      <w:r>
        <w:rPr>
          <w:rFonts w:ascii="Arial" w:hAnsi="Arial" w:cs="Arial"/>
          <w:sz w:val="20"/>
          <w:szCs w:val="20"/>
          <w:lang w:val="bg-BG"/>
        </w:rPr>
        <w:t>Признат е разход за обезценка в размер на 2 хил.лв.</w:t>
      </w:r>
    </w:p>
    <w:p w14:paraId="29157094" w14:textId="77777777" w:rsidR="00A24136" w:rsidRDefault="00A24136" w:rsidP="00EC17E2">
      <w:pPr>
        <w:pStyle w:val="BodyText"/>
        <w:spacing w:after="0"/>
        <w:rPr>
          <w:rFonts w:ascii="Arial" w:hAnsi="Arial" w:cs="Arial"/>
          <w:sz w:val="20"/>
          <w:szCs w:val="20"/>
          <w:lang w:val="bg-BG"/>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187" w:name="_Toc4683433"/>
      <w:bookmarkStart w:id="188" w:name="_Toc4685327"/>
      <w:bookmarkStart w:id="189" w:name="_Toc4692221"/>
      <w:bookmarkStart w:id="190" w:name="_Toc67568193"/>
      <w:bookmarkStart w:id="191" w:name="_Toc96871917"/>
      <w:bookmarkStart w:id="192" w:name="_Toc129350908"/>
      <w:bookmarkStart w:id="193" w:name="_Toc160806751"/>
      <w:bookmarkStart w:id="194" w:name="_Toc195005041"/>
      <w:r w:rsidRPr="00B14C47">
        <w:rPr>
          <w:rFonts w:ascii="Arial" w:hAnsi="Arial" w:cs="Arial"/>
          <w:b w:val="0"/>
          <w:bCs w:val="0"/>
          <w:i/>
          <w:iCs/>
          <w:sz w:val="20"/>
          <w:szCs w:val="20"/>
        </w:rPr>
        <w:t>Информация за финансовия риск</w:t>
      </w:r>
      <w:bookmarkStart w:id="195" w:name="_Toc473125074"/>
      <w:bookmarkEnd w:id="186"/>
      <w:bookmarkEnd w:id="187"/>
      <w:bookmarkEnd w:id="188"/>
      <w:bookmarkEnd w:id="189"/>
      <w:bookmarkEnd w:id="190"/>
      <w:bookmarkEnd w:id="191"/>
      <w:bookmarkEnd w:id="192"/>
      <w:bookmarkEnd w:id="193"/>
      <w:bookmarkEnd w:id="194"/>
      <w:r w:rsidRPr="00B14C47">
        <w:rPr>
          <w:rFonts w:ascii="Arial" w:hAnsi="Arial" w:cs="Arial"/>
          <w:b w:val="0"/>
          <w:bCs w:val="0"/>
          <w:i/>
          <w:iCs/>
          <w:sz w:val="20"/>
          <w:szCs w:val="20"/>
          <w:lang w:val="bg-BG"/>
        </w:rPr>
        <w:t xml:space="preserve">  </w:t>
      </w:r>
    </w:p>
    <w:p w14:paraId="0D7005A9" w14:textId="77777777" w:rsidR="00CE5F18" w:rsidRPr="00F91B7A" w:rsidRDefault="00EC17E2" w:rsidP="000B75C7">
      <w:pPr>
        <w:pStyle w:val="Heading2"/>
        <w:tabs>
          <w:tab w:val="left" w:pos="227"/>
          <w:tab w:val="left" w:pos="454"/>
          <w:tab w:val="left" w:pos="680"/>
          <w:tab w:val="left" w:pos="907"/>
        </w:tabs>
        <w:spacing w:before="0" w:after="120"/>
        <w:rPr>
          <w:rFonts w:ascii="Arial" w:hAnsi="Arial" w:cs="Arial"/>
          <w:sz w:val="20"/>
        </w:rPr>
      </w:pPr>
      <w:bookmarkStart w:id="196" w:name="_Toc4683434"/>
      <w:bookmarkStart w:id="197" w:name="_Toc4685328"/>
      <w:bookmarkStart w:id="198" w:name="_Toc4692222"/>
      <w:bookmarkStart w:id="199" w:name="_Toc67568194"/>
      <w:bookmarkStart w:id="200" w:name="_Toc96871918"/>
      <w:bookmarkStart w:id="201" w:name="_Toc129350909"/>
      <w:bookmarkStart w:id="202" w:name="_Toc160806752"/>
      <w:bookmarkStart w:id="203" w:name="_Toc195003918"/>
      <w:bookmarkStart w:id="204" w:name="_Toc195005042"/>
      <w:proofErr w:type="gramStart"/>
      <w:r w:rsidRPr="00F91B7A">
        <w:rPr>
          <w:rFonts w:ascii="Arial" w:hAnsi="Arial" w:cs="Arial"/>
          <w:sz w:val="20"/>
          <w:szCs w:val="20"/>
        </w:rPr>
        <w:t>Кредитен  риск</w:t>
      </w:r>
      <w:bookmarkEnd w:id="195"/>
      <w:bookmarkEnd w:id="196"/>
      <w:bookmarkEnd w:id="197"/>
      <w:bookmarkEnd w:id="198"/>
      <w:bookmarkEnd w:id="199"/>
      <w:bookmarkEnd w:id="200"/>
      <w:bookmarkEnd w:id="201"/>
      <w:bookmarkEnd w:id="202"/>
      <w:bookmarkEnd w:id="203"/>
      <w:bookmarkEnd w:id="204"/>
      <w:proofErr w:type="gramEnd"/>
    </w:p>
    <w:p w14:paraId="1D95DAA5" w14:textId="77777777" w:rsidR="00EC17E2" w:rsidRPr="00F91B7A" w:rsidRDefault="00EC17E2" w:rsidP="00EC17E2">
      <w:pPr>
        <w:rPr>
          <w:rFonts w:ascii="Arial" w:hAnsi="Arial" w:cs="Arial"/>
          <w:sz w:val="20"/>
        </w:rPr>
      </w:pPr>
      <w:r w:rsidRPr="00F91B7A">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F91B7A" w:rsidRDefault="00EC17E2" w:rsidP="00EC17E2">
      <w:pPr>
        <w:rPr>
          <w:rFonts w:ascii="Arial" w:hAnsi="Arial" w:cs="Arial"/>
          <w:sz w:val="20"/>
        </w:rPr>
      </w:pPr>
      <w:r w:rsidRPr="00F91B7A">
        <w:rPr>
          <w:rFonts w:ascii="Arial" w:hAnsi="Arial" w:cs="Arial"/>
          <w:sz w:val="20"/>
        </w:rPr>
        <w:t>Дружеството не държи допълнително обезпечение за никое от своите вземания.</w:t>
      </w:r>
    </w:p>
    <w:p w14:paraId="0B68FBEC" w14:textId="77777777" w:rsidR="00EC17E2" w:rsidRPr="00F91B7A" w:rsidRDefault="00EC17E2" w:rsidP="00EC17E2">
      <w:pPr>
        <w:rPr>
          <w:rFonts w:ascii="Arial" w:hAnsi="Arial" w:cs="Arial"/>
          <w:sz w:val="20"/>
        </w:rPr>
      </w:pPr>
      <w:r w:rsidRPr="00F91B7A">
        <w:rPr>
          <w:rFonts w:ascii="Arial" w:hAnsi="Arial" w:cs="Arial"/>
          <w:sz w:val="20"/>
        </w:rPr>
        <w:t>Всички вземания, които са просрочени към отчетната дата, са съответно обезценени.</w:t>
      </w:r>
    </w:p>
    <w:p w14:paraId="55954275" w14:textId="6665D91C" w:rsidR="00EC17E2" w:rsidRPr="00B14C47" w:rsidRDefault="00EC17E2" w:rsidP="00EC17E2">
      <w:pPr>
        <w:rPr>
          <w:rFonts w:ascii="Arial" w:hAnsi="Arial" w:cs="Arial"/>
          <w:sz w:val="20"/>
        </w:rPr>
      </w:pPr>
      <w:r w:rsidRPr="00F91B7A">
        <w:rPr>
          <w:rFonts w:ascii="Arial" w:hAnsi="Arial" w:cs="Arial"/>
          <w:sz w:val="20"/>
        </w:rPr>
        <w:t>Кредитният риск, който възниква от другите финансови активи</w:t>
      </w:r>
      <w:r w:rsidRPr="00B14C47">
        <w:rPr>
          <w:rFonts w:ascii="Arial" w:hAnsi="Arial" w:cs="Arial"/>
          <w:sz w:val="20"/>
        </w:rPr>
        <w:t xml:space="preserve">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7A3C00">
        <w:rPr>
          <w:rFonts w:ascii="Arial" w:hAnsi="Arial" w:cs="Arial"/>
          <w:sz w:val="20"/>
        </w:rPr>
        <w:t>1</w:t>
      </w:r>
      <w:r w:rsidR="00D060A0" w:rsidRPr="00B14C47">
        <w:rPr>
          <w:rFonts w:ascii="Arial" w:hAnsi="Arial" w:cs="Arial"/>
          <w:sz w:val="20"/>
        </w:rPr>
        <w:t xml:space="preserve"> </w:t>
      </w:r>
      <w:r w:rsidR="007A3C00">
        <w:rPr>
          <w:rFonts w:ascii="Arial" w:hAnsi="Arial" w:cs="Arial"/>
          <w:sz w:val="20"/>
        </w:rPr>
        <w:t>деке</w:t>
      </w:r>
      <w:r w:rsidR="0099563F">
        <w:rPr>
          <w:rFonts w:ascii="Arial" w:hAnsi="Arial" w:cs="Arial"/>
          <w:sz w:val="20"/>
        </w:rPr>
        <w:t>мври</w:t>
      </w:r>
      <w:r w:rsidR="00D060A0"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4ABCF7D6"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w:t>
      </w:r>
      <w:r w:rsidR="006B1EE4">
        <w:rPr>
          <w:rFonts w:ascii="Arial" w:hAnsi="Arial" w:cs="Arial"/>
          <w:sz w:val="20"/>
        </w:rPr>
        <w:t>1</w:t>
      </w:r>
      <w:r w:rsidR="008A09BC" w:rsidRPr="00B14C47">
        <w:rPr>
          <w:rFonts w:ascii="Arial" w:hAnsi="Arial" w:cs="Arial"/>
          <w:sz w:val="20"/>
        </w:rPr>
        <w:t xml:space="preserve"> </w:t>
      </w:r>
      <w:r w:rsidR="006B1EE4">
        <w:rPr>
          <w:rFonts w:ascii="Arial" w:hAnsi="Arial" w:cs="Arial"/>
          <w:sz w:val="20"/>
        </w:rPr>
        <w:t>деке</w:t>
      </w:r>
      <w:r w:rsidR="0099563F">
        <w:rPr>
          <w:rFonts w:ascii="Arial" w:hAnsi="Arial" w:cs="Arial"/>
          <w:sz w:val="20"/>
        </w:rPr>
        <w:t>мври</w:t>
      </w:r>
      <w:r w:rsidR="008A09BC"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Heading3"/>
        <w:rPr>
          <w:rFonts w:ascii="Arial" w:hAnsi="Arial" w:cs="Arial"/>
        </w:rPr>
      </w:pPr>
      <w:bookmarkStart w:id="205" w:name="_Toc473125075"/>
      <w:bookmarkStart w:id="206" w:name="_Toc4683435"/>
      <w:bookmarkStart w:id="207" w:name="_Toc4685329"/>
      <w:bookmarkStart w:id="208" w:name="_Toc4692223"/>
      <w:bookmarkStart w:id="209" w:name="_Toc67568195"/>
      <w:bookmarkStart w:id="210" w:name="_Toc96871919"/>
      <w:bookmarkStart w:id="211" w:name="_Toc129350910"/>
      <w:bookmarkStart w:id="212" w:name="_Toc160806753"/>
      <w:bookmarkStart w:id="213" w:name="_Toc195003919"/>
      <w:bookmarkStart w:id="214" w:name="_Toc195005043"/>
      <w:r w:rsidRPr="00760EBD">
        <w:rPr>
          <w:rFonts w:ascii="Arial" w:hAnsi="Arial" w:cs="Arial"/>
          <w:lang w:val="bg-BG"/>
        </w:rPr>
        <w:t>Л</w:t>
      </w:r>
      <w:r w:rsidRPr="00760EBD">
        <w:rPr>
          <w:rFonts w:ascii="Arial" w:hAnsi="Arial" w:cs="Arial"/>
        </w:rPr>
        <w:t>иквиден риск</w:t>
      </w:r>
      <w:bookmarkEnd w:id="205"/>
      <w:bookmarkEnd w:id="206"/>
      <w:bookmarkEnd w:id="207"/>
      <w:bookmarkEnd w:id="208"/>
      <w:bookmarkEnd w:id="209"/>
      <w:bookmarkEnd w:id="210"/>
      <w:bookmarkEnd w:id="211"/>
      <w:bookmarkEnd w:id="212"/>
      <w:bookmarkEnd w:id="213"/>
      <w:bookmarkEnd w:id="214"/>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5655F076" w14:textId="1ADEF625" w:rsidR="00DF3F33" w:rsidRDefault="00F71F16" w:rsidP="00F71F16">
      <w:pPr>
        <w:rPr>
          <w:rFonts w:ascii="Arial" w:hAnsi="Arial" w:cs="Arial"/>
          <w:sz w:val="20"/>
        </w:rPr>
      </w:pPr>
      <w:r w:rsidRPr="00760EBD">
        <w:rPr>
          <w:rFonts w:ascii="Arial" w:hAnsi="Arial" w:cs="Arial"/>
          <w:sz w:val="20"/>
        </w:rPr>
        <w:lastRenderedPageBreak/>
        <w:t>Дружеството очаква, че ще се генерират задоволителни парични постъпления, за да</w:t>
      </w:r>
      <w:r w:rsidRPr="00760EBD">
        <w:rPr>
          <w:rStyle w:val="FontStyle78"/>
          <w:sz w:val="20"/>
          <w:szCs w:val="20"/>
        </w:rPr>
        <w:t xml:space="preserve"> </w:t>
      </w:r>
      <w:r w:rsidRPr="00760EBD">
        <w:rPr>
          <w:rFonts w:ascii="Arial" w:hAnsi="Arial" w:cs="Arial"/>
          <w:sz w:val="20"/>
        </w:rPr>
        <w:t xml:space="preserve">се изпълнят паричните ангажименти, които има към </w:t>
      </w:r>
      <w:r w:rsidR="006B1EE4">
        <w:rPr>
          <w:rFonts w:ascii="Arial" w:hAnsi="Arial" w:cs="Arial"/>
          <w:sz w:val="20"/>
        </w:rPr>
        <w:t>31</w:t>
      </w:r>
      <w:r w:rsidRPr="00760EBD">
        <w:rPr>
          <w:rFonts w:ascii="Arial" w:hAnsi="Arial" w:cs="Arial"/>
          <w:sz w:val="20"/>
        </w:rPr>
        <w:t xml:space="preserve"> </w:t>
      </w:r>
      <w:r w:rsidR="006B1EE4">
        <w:rPr>
          <w:rFonts w:ascii="Arial" w:hAnsi="Arial" w:cs="Arial"/>
          <w:sz w:val="20"/>
        </w:rPr>
        <w:t>деке</w:t>
      </w:r>
      <w:r w:rsidR="0099563F">
        <w:rPr>
          <w:rFonts w:ascii="Arial" w:hAnsi="Arial" w:cs="Arial"/>
          <w:sz w:val="20"/>
        </w:rPr>
        <w:t>мври</w:t>
      </w:r>
      <w:r w:rsidRPr="00760EBD">
        <w:rPr>
          <w:rFonts w:ascii="Arial" w:hAnsi="Arial" w:cs="Arial"/>
          <w:sz w:val="20"/>
          <w:lang w:val="en-US"/>
        </w:rPr>
        <w:t xml:space="preserve"> </w:t>
      </w:r>
      <w:r w:rsidRPr="00760EBD">
        <w:rPr>
          <w:rFonts w:ascii="Arial" w:hAnsi="Arial" w:cs="Arial"/>
          <w:sz w:val="20"/>
        </w:rPr>
        <w:t xml:space="preserve"> </w:t>
      </w:r>
      <w:r w:rsidR="00BD5DEE" w:rsidRPr="00760EBD">
        <w:rPr>
          <w:rFonts w:ascii="Arial" w:hAnsi="Arial" w:cs="Arial"/>
          <w:sz w:val="20"/>
        </w:rPr>
        <w:t>202</w:t>
      </w:r>
      <w:r w:rsidR="00F91B7A">
        <w:rPr>
          <w:rFonts w:ascii="Arial" w:hAnsi="Arial" w:cs="Arial"/>
          <w:sz w:val="20"/>
        </w:rPr>
        <w:t>5</w:t>
      </w:r>
      <w:r w:rsidR="00B0760F" w:rsidRPr="00760EBD">
        <w:rPr>
          <w:rFonts w:ascii="Arial" w:hAnsi="Arial" w:cs="Arial"/>
          <w:sz w:val="20"/>
        </w:rPr>
        <w:t>г</w:t>
      </w:r>
      <w:r w:rsidRPr="00760EBD">
        <w:rPr>
          <w:rFonts w:ascii="Arial" w:hAnsi="Arial" w:cs="Arial"/>
          <w:sz w:val="20"/>
        </w:rPr>
        <w:t xml:space="preserve">. </w:t>
      </w:r>
    </w:p>
    <w:p w14:paraId="3FD7536E" w14:textId="77777777" w:rsidR="00DF3F33" w:rsidRPr="00A55AC8" w:rsidRDefault="00DF3F33" w:rsidP="00F71F16">
      <w:pPr>
        <w:rPr>
          <w:rFonts w:ascii="Arial" w:hAnsi="Arial" w:cs="Arial"/>
          <w:sz w:val="20"/>
          <w:lang w:val="en-US"/>
        </w:rPr>
      </w:pPr>
    </w:p>
    <w:p w14:paraId="303B58C7" w14:textId="77777777" w:rsidR="00505849" w:rsidRPr="00B14C47" w:rsidRDefault="00505849" w:rsidP="00F71F16">
      <w:pPr>
        <w:rPr>
          <w:rFonts w:ascii="Arial" w:hAnsi="Arial" w:cs="Arial"/>
          <w:sz w:val="20"/>
        </w:rPr>
      </w:pPr>
    </w:p>
    <w:p w14:paraId="6FC98EA0" w14:textId="39CA1C46" w:rsidR="00505849" w:rsidRPr="00B14C47" w:rsidRDefault="00505849" w:rsidP="00F71F16">
      <w:pPr>
        <w:rPr>
          <w:rFonts w:ascii="Arial" w:hAnsi="Arial" w:cs="Arial"/>
          <w:sz w:val="20"/>
        </w:rPr>
      </w:pPr>
    </w:p>
    <w:p w14:paraId="1A0CC597" w14:textId="77777777" w:rsidR="00747D38" w:rsidRPr="0096156C" w:rsidRDefault="00747D38" w:rsidP="00747D38">
      <w:pPr>
        <w:rPr>
          <w:lang w:val="en-US"/>
        </w:rPr>
      </w:pPr>
      <w:bookmarkStart w:id="215" w:name="_Toc247959212"/>
      <w:bookmarkStart w:id="216" w:name="_Toc4683436"/>
      <w:bookmarkStart w:id="217" w:name="_Toc4685330"/>
      <w:bookmarkStart w:id="218" w:name="_Toc4692224"/>
      <w:bookmarkStart w:id="219" w:name="_Toc67568196"/>
      <w:bookmarkStart w:id="220" w:name="_Toc96871920"/>
      <w:bookmarkStart w:id="221" w:name="_Toc129350911"/>
      <w:bookmarkStart w:id="222" w:name="_Toc160806754"/>
    </w:p>
    <w:p w14:paraId="7C828CAA" w14:textId="77A40514" w:rsidR="00B66DF8" w:rsidRPr="00B14C47" w:rsidRDefault="00B66DF8" w:rsidP="00B66DF8">
      <w:pPr>
        <w:pStyle w:val="Heading3"/>
        <w:spacing w:before="0"/>
        <w:rPr>
          <w:rFonts w:ascii="Arial" w:hAnsi="Arial" w:cs="Arial"/>
          <w:lang w:val="bg-BG"/>
        </w:rPr>
      </w:pPr>
      <w:bookmarkStart w:id="223" w:name="_Toc195003920"/>
      <w:bookmarkStart w:id="224" w:name="_Toc195005044"/>
      <w:r w:rsidRPr="00B14C47">
        <w:rPr>
          <w:rFonts w:ascii="Arial" w:hAnsi="Arial" w:cs="Arial"/>
          <w:lang w:val="bg-BG"/>
        </w:rPr>
        <w:t>Лихвен риск</w:t>
      </w:r>
      <w:bookmarkEnd w:id="215"/>
      <w:bookmarkEnd w:id="216"/>
      <w:bookmarkEnd w:id="217"/>
      <w:bookmarkEnd w:id="218"/>
      <w:bookmarkEnd w:id="219"/>
      <w:bookmarkEnd w:id="220"/>
      <w:bookmarkEnd w:id="221"/>
      <w:bookmarkEnd w:id="222"/>
      <w:bookmarkEnd w:id="223"/>
      <w:bookmarkEnd w:id="224"/>
    </w:p>
    <w:p w14:paraId="375B47CD" w14:textId="77777777" w:rsidR="00B66DF8" w:rsidRDefault="00B66DF8" w:rsidP="00B66DF8">
      <w:pPr>
        <w:rPr>
          <w:rFonts w:ascii="Arial" w:hAnsi="Arial" w:cs="Arial"/>
          <w:color w:val="000000"/>
          <w:sz w:val="20"/>
          <w:lang w:val="en-US"/>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78A7A6F1" w14:textId="77777777" w:rsidR="00784497" w:rsidRPr="00784497" w:rsidRDefault="00784497" w:rsidP="00B66DF8">
      <w:pPr>
        <w:rPr>
          <w:rFonts w:ascii="Arial" w:hAnsi="Arial" w:cs="Arial"/>
          <w:color w:val="000000"/>
          <w:sz w:val="20"/>
          <w:lang w:val="en-US"/>
        </w:rPr>
      </w:pP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25" w:name="_Toc4683437"/>
      <w:bookmarkStart w:id="226" w:name="_Toc4685331"/>
      <w:bookmarkStart w:id="227" w:name="_Toc4692225"/>
      <w:bookmarkStart w:id="228" w:name="_Toc67568197"/>
      <w:bookmarkStart w:id="229" w:name="_Toc96871921"/>
      <w:bookmarkStart w:id="230" w:name="_Toc129350912"/>
      <w:bookmarkStart w:id="231" w:name="_Toc160806755"/>
      <w:bookmarkStart w:id="232" w:name="_Toc195003921"/>
      <w:bookmarkStart w:id="233" w:name="_Toc195005045"/>
      <w:r w:rsidRPr="00B14C47">
        <w:rPr>
          <w:rFonts w:ascii="Arial" w:hAnsi="Arial" w:cs="Arial"/>
          <w:lang w:val="bg-BG"/>
        </w:rPr>
        <w:t>Валутен риск</w:t>
      </w:r>
      <w:bookmarkEnd w:id="225"/>
      <w:bookmarkEnd w:id="226"/>
      <w:bookmarkEnd w:id="227"/>
      <w:bookmarkEnd w:id="228"/>
      <w:bookmarkEnd w:id="229"/>
      <w:bookmarkEnd w:id="230"/>
      <w:bookmarkEnd w:id="231"/>
      <w:bookmarkEnd w:id="232"/>
      <w:bookmarkEnd w:id="233"/>
    </w:p>
    <w:p w14:paraId="77335086" w14:textId="005E5AF0"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6B1EE4">
        <w:rPr>
          <w:rFonts w:ascii="Arial" w:hAnsi="Arial" w:cs="Arial"/>
          <w:sz w:val="20"/>
        </w:rPr>
        <w:t>четвърто</w:t>
      </w:r>
      <w:r w:rsidR="00901C98">
        <w:rPr>
          <w:rFonts w:ascii="Arial" w:hAnsi="Arial" w:cs="Arial"/>
          <w:sz w:val="20"/>
        </w:rPr>
        <w:t xml:space="preserve"> тримесечие на </w:t>
      </w:r>
      <w:r w:rsidR="00F71F16" w:rsidRPr="00B14C47">
        <w:rPr>
          <w:rFonts w:ascii="Arial" w:hAnsi="Arial" w:cs="Arial"/>
          <w:sz w:val="20"/>
        </w:rPr>
        <w:t>20</w:t>
      </w:r>
      <w:r w:rsidR="008A7646">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 xml:space="preserve">Към </w:t>
      </w:r>
      <w:r w:rsidR="006B1EE4">
        <w:rPr>
          <w:rFonts w:ascii="Arial" w:hAnsi="Arial" w:cs="Arial"/>
          <w:sz w:val="20"/>
        </w:rPr>
        <w:t>31</w:t>
      </w:r>
      <w:r w:rsidR="00F71F16" w:rsidRPr="00B14C47">
        <w:rPr>
          <w:rFonts w:ascii="Arial" w:hAnsi="Arial" w:cs="Arial"/>
          <w:sz w:val="20"/>
        </w:rPr>
        <w:t xml:space="preserve"> </w:t>
      </w:r>
      <w:r w:rsidR="006B1EE4">
        <w:rPr>
          <w:rFonts w:ascii="Arial" w:hAnsi="Arial" w:cs="Arial"/>
          <w:sz w:val="20"/>
        </w:rPr>
        <w:t>деке</w:t>
      </w:r>
      <w:r w:rsidR="0099563F">
        <w:rPr>
          <w:rFonts w:ascii="Arial" w:hAnsi="Arial" w:cs="Arial"/>
          <w:sz w:val="20"/>
        </w:rPr>
        <w:t>мври</w:t>
      </w:r>
      <w:r w:rsidR="00F71F16" w:rsidRPr="00B14C47">
        <w:rPr>
          <w:rFonts w:ascii="Arial" w:hAnsi="Arial" w:cs="Arial"/>
          <w:sz w:val="20"/>
        </w:rPr>
        <w:t xml:space="preserve"> 20</w:t>
      </w:r>
      <w:r w:rsidR="003B1310" w:rsidRPr="00B14C47">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Heading3"/>
        <w:spacing w:line="276" w:lineRule="auto"/>
        <w:rPr>
          <w:rFonts w:ascii="Arial" w:hAnsi="Arial" w:cs="Arial"/>
        </w:rPr>
      </w:pPr>
      <w:bookmarkStart w:id="234" w:name="_Toc473125078"/>
      <w:bookmarkStart w:id="235" w:name="_Toc4683438"/>
      <w:bookmarkStart w:id="236" w:name="_Toc4685332"/>
      <w:bookmarkStart w:id="237" w:name="_Toc4692226"/>
      <w:bookmarkStart w:id="238" w:name="_Toc67568198"/>
      <w:bookmarkStart w:id="239" w:name="_Toc96871922"/>
      <w:bookmarkStart w:id="240" w:name="_Toc129350913"/>
      <w:bookmarkStart w:id="241" w:name="_Toc160806756"/>
      <w:bookmarkStart w:id="242" w:name="_Toc195003922"/>
      <w:bookmarkStart w:id="243" w:name="_Toc195005046"/>
      <w:r w:rsidRPr="00B14C47">
        <w:rPr>
          <w:rFonts w:ascii="Arial" w:hAnsi="Arial" w:cs="Arial"/>
        </w:rPr>
        <w:t>Пазарен риск</w:t>
      </w:r>
      <w:bookmarkEnd w:id="234"/>
      <w:bookmarkEnd w:id="235"/>
      <w:bookmarkEnd w:id="236"/>
      <w:bookmarkEnd w:id="237"/>
      <w:bookmarkEnd w:id="238"/>
      <w:bookmarkEnd w:id="239"/>
      <w:bookmarkEnd w:id="240"/>
      <w:bookmarkEnd w:id="241"/>
      <w:bookmarkEnd w:id="242"/>
      <w:bookmarkEnd w:id="243"/>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2086F681" w14:textId="77777777" w:rsidR="00DF3F33" w:rsidRPr="00B14C47" w:rsidRDefault="00DF3F33" w:rsidP="00DF3F33">
      <w:pPr>
        <w:pStyle w:val="Heading3"/>
        <w:spacing w:before="0"/>
        <w:rPr>
          <w:rFonts w:ascii="Arial" w:hAnsi="Arial" w:cs="Arial"/>
          <w:lang w:val="bg-BG"/>
        </w:rPr>
      </w:pPr>
      <w:bookmarkStart w:id="244" w:name="_Toc160806757"/>
      <w:bookmarkStart w:id="245" w:name="_Toc195003923"/>
      <w:bookmarkStart w:id="246" w:name="_Toc195005047"/>
      <w:r w:rsidRPr="00B14C47">
        <w:rPr>
          <w:rFonts w:ascii="Arial" w:hAnsi="Arial" w:cs="Arial"/>
          <w:lang w:val="bg-BG"/>
        </w:rPr>
        <w:t>Климатични рискове</w:t>
      </w:r>
      <w:bookmarkEnd w:id="244"/>
      <w:bookmarkEnd w:id="245"/>
      <w:bookmarkEnd w:id="246"/>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20"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lastRenderedPageBreak/>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NormalWeb"/>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47" w:name="_Toc195005048"/>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47"/>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41834BAF"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401123" w:rsidRPr="00663CB5">
        <w:rPr>
          <w:rFonts w:ascii="Arial" w:eastAsia="Calibri" w:hAnsi="Arial" w:cs="Arial"/>
          <w:sz w:val="20"/>
        </w:rPr>
        <w:t>31 д</w:t>
      </w:r>
      <w:r w:rsidR="00401123">
        <w:rPr>
          <w:rFonts w:ascii="Arial" w:eastAsia="Calibri" w:hAnsi="Arial" w:cs="Arial"/>
          <w:sz w:val="20"/>
        </w:rPr>
        <w:t xml:space="preserve">екември </w:t>
      </w:r>
      <w:r w:rsidR="008A09BC" w:rsidRPr="00663CB5">
        <w:rPr>
          <w:rFonts w:ascii="Arial" w:hAnsi="Arial" w:cs="Arial"/>
          <w:sz w:val="20"/>
        </w:rPr>
        <w:t>20</w:t>
      </w:r>
      <w:r w:rsidR="00D311BC">
        <w:rPr>
          <w:rFonts w:ascii="Arial" w:hAnsi="Arial" w:cs="Arial"/>
          <w:sz w:val="20"/>
        </w:rPr>
        <w:t>2</w:t>
      </w:r>
      <w:r w:rsidR="00901C98">
        <w:rPr>
          <w:rFonts w:ascii="Arial" w:hAnsi="Arial" w:cs="Arial"/>
          <w:sz w:val="20"/>
        </w:rPr>
        <w:t>5</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901C98">
        <w:rPr>
          <w:rFonts w:ascii="Arial" w:eastAsia="Calibri" w:hAnsi="Arial" w:cs="Arial"/>
          <w:sz w:val="20"/>
        </w:rPr>
        <w:t>4</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48" w:name="_Toc247959215"/>
      <w:bookmarkStart w:id="249" w:name="_Toc195005049"/>
      <w:bookmarkStart w:id="250"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48"/>
      <w:bookmarkEnd w:id="249"/>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51" w:name="_Toc247959216"/>
      <w:bookmarkStart w:id="252" w:name="_Hlk510717333"/>
      <w:bookmarkStart w:id="253" w:name="_Hlk511574192"/>
      <w:bookmarkEnd w:id="250"/>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51"/>
      <w:r w:rsidR="009D5BCD" w:rsidRPr="00663CB5">
        <w:rPr>
          <w:rFonts w:ascii="Arial" w:hAnsi="Arial" w:cs="Arial"/>
          <w:b/>
          <w:sz w:val="20"/>
        </w:rPr>
        <w:t xml:space="preserve"> </w:t>
      </w:r>
    </w:p>
    <w:p w14:paraId="05A8F13A" w14:textId="159040F9" w:rsidR="00171AD9" w:rsidRPr="00171AD9" w:rsidRDefault="006435EE" w:rsidP="00A55AC8">
      <w:pPr>
        <w:spacing w:line="276" w:lineRule="auto"/>
        <w:rPr>
          <w:rFonts w:ascii="Arial" w:eastAsia="Calibri" w:hAnsi="Arial" w:cs="Arial"/>
          <w:sz w:val="20"/>
        </w:rPr>
      </w:pPr>
      <w:r w:rsidRPr="00171AD9">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901C98">
        <w:rPr>
          <w:rFonts w:ascii="Arial" w:hAnsi="Arial" w:cs="Arial"/>
          <w:sz w:val="20"/>
        </w:rPr>
        <w:t>периода</w:t>
      </w:r>
      <w:r w:rsidRPr="00171AD9">
        <w:rPr>
          <w:rFonts w:ascii="Arial" w:hAnsi="Arial" w:cs="Arial"/>
          <w:sz w:val="20"/>
        </w:rPr>
        <w:t>,</w:t>
      </w:r>
      <w:r w:rsidR="00D311BC" w:rsidRPr="00171AD9">
        <w:rPr>
          <w:rFonts w:ascii="Arial" w:hAnsi="Arial" w:cs="Arial"/>
          <w:sz w:val="20"/>
        </w:rPr>
        <w:t xml:space="preserve"> приключващ на </w:t>
      </w:r>
      <w:r w:rsidR="00401123" w:rsidRPr="00663CB5">
        <w:rPr>
          <w:rFonts w:ascii="Arial" w:eastAsia="Calibri" w:hAnsi="Arial" w:cs="Arial"/>
          <w:sz w:val="20"/>
        </w:rPr>
        <w:t>31 д</w:t>
      </w:r>
      <w:r w:rsidR="00401123">
        <w:rPr>
          <w:rFonts w:ascii="Arial" w:eastAsia="Calibri" w:hAnsi="Arial" w:cs="Arial"/>
          <w:sz w:val="20"/>
        </w:rPr>
        <w:t xml:space="preserve">екември </w:t>
      </w:r>
      <w:r w:rsidR="00D311BC" w:rsidRPr="00171AD9">
        <w:rPr>
          <w:rFonts w:ascii="Arial" w:hAnsi="Arial" w:cs="Arial"/>
          <w:sz w:val="20"/>
        </w:rPr>
        <w:t>202</w:t>
      </w:r>
      <w:r w:rsidR="00901C98">
        <w:rPr>
          <w:rFonts w:ascii="Arial" w:hAnsi="Arial" w:cs="Arial"/>
          <w:sz w:val="20"/>
        </w:rPr>
        <w:t>5</w:t>
      </w:r>
      <w:r w:rsidRPr="00171AD9">
        <w:rPr>
          <w:rFonts w:ascii="Arial" w:hAnsi="Arial" w:cs="Arial"/>
          <w:sz w:val="20"/>
        </w:rPr>
        <w:t xml:space="preserve"> г</w:t>
      </w:r>
      <w:r w:rsidR="00050E75">
        <w:rPr>
          <w:rFonts w:ascii="Arial" w:hAnsi="Arial" w:cs="Arial"/>
          <w:sz w:val="20"/>
        </w:rPr>
        <w:t>.</w:t>
      </w:r>
      <w:r w:rsidR="00171AD9" w:rsidRPr="00171AD9">
        <w:rPr>
          <w:rFonts w:ascii="Arial" w:eastAsia="Calibri" w:hAnsi="Arial" w:cs="Arial"/>
          <w:sz w:val="20"/>
        </w:rPr>
        <w:t>.</w:t>
      </w:r>
    </w:p>
    <w:p w14:paraId="46813AA2" w14:textId="77777777" w:rsidR="00B66DF8" w:rsidRPr="00663CB5" w:rsidRDefault="00B66DF8" w:rsidP="00663CB5">
      <w:pPr>
        <w:pStyle w:val="Heading2"/>
        <w:spacing w:before="0" w:line="276" w:lineRule="auto"/>
        <w:rPr>
          <w:rFonts w:ascii="Arial" w:hAnsi="Arial" w:cs="Arial"/>
          <w:i/>
          <w:sz w:val="20"/>
          <w:szCs w:val="20"/>
          <w:lang w:val="bg-BG"/>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54" w:name="_Toc195005050"/>
      <w:bookmarkEnd w:id="252"/>
      <w:bookmarkEnd w:id="253"/>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54"/>
    </w:p>
    <w:p w14:paraId="056CEDCD" w14:textId="75596B06"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1738F8">
        <w:rPr>
          <w:rFonts w:ascii="Arial" w:hAnsi="Arial" w:cs="Arial"/>
          <w:sz w:val="20"/>
          <w:szCs w:val="20"/>
          <w:lang w:val="bg-BG"/>
        </w:rPr>
        <w:t>5</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C17567">
        <w:rPr>
          <w:rFonts w:ascii="Arial" w:hAnsi="Arial" w:cs="Arial"/>
          <w:sz w:val="20"/>
          <w:szCs w:val="20"/>
          <w:lang w:val="bg-BG"/>
        </w:rPr>
        <w:t>1</w:t>
      </w:r>
      <w:r w:rsidR="001738F8">
        <w:rPr>
          <w:rFonts w:ascii="Arial" w:hAnsi="Arial" w:cs="Arial"/>
          <w:sz w:val="20"/>
          <w:szCs w:val="20"/>
          <w:lang w:val="bg-BG"/>
        </w:rPr>
        <w:t>5</w:t>
      </w:r>
      <w:r w:rsidR="00C17567" w:rsidRPr="00663CB5">
        <w:rPr>
          <w:rFonts w:ascii="Arial" w:hAnsi="Arial" w:cs="Arial"/>
          <w:sz w:val="20"/>
          <w:szCs w:val="20"/>
        </w:rPr>
        <w:t xml:space="preserve"> </w:t>
      </w:r>
      <w:r w:rsidR="00F71F16" w:rsidRPr="00663CB5">
        <w:rPr>
          <w:rFonts w:ascii="Arial" w:hAnsi="Arial" w:cs="Arial"/>
          <w:sz w:val="20"/>
          <w:szCs w:val="20"/>
          <w:lang w:val="bg-BG"/>
        </w:rPr>
        <w:t>хил.лв.</w:t>
      </w:r>
      <w:r w:rsidR="00C17567">
        <w:rPr>
          <w:rFonts w:ascii="Arial" w:hAnsi="Arial" w:cs="Arial"/>
          <w:sz w:val="20"/>
          <w:szCs w:val="20"/>
          <w:lang w:val="bg-BG"/>
        </w:rPr>
        <w:t xml:space="preserve"> с ДДС.</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55" w:name="_Toc247959218"/>
      <w:bookmarkStart w:id="256" w:name="_Toc195005051"/>
      <w:bookmarkStart w:id="257" w:name="_Hlk510717358"/>
      <w:r w:rsidRPr="00663CB5">
        <w:rPr>
          <w:rFonts w:ascii="Arial" w:hAnsi="Arial" w:cs="Arial"/>
          <w:i/>
          <w:sz w:val="20"/>
          <w:szCs w:val="20"/>
          <w:lang w:val="bg-BG"/>
        </w:rPr>
        <w:lastRenderedPageBreak/>
        <w:t>7</w:t>
      </w:r>
      <w:r w:rsidR="00B66DF8" w:rsidRPr="00663CB5">
        <w:rPr>
          <w:rFonts w:ascii="Arial" w:hAnsi="Arial" w:cs="Arial"/>
          <w:i/>
          <w:sz w:val="20"/>
          <w:szCs w:val="20"/>
          <w:lang w:val="bg-BG"/>
        </w:rPr>
        <w:t xml:space="preserve">. </w:t>
      </w:r>
      <w:bookmarkEnd w:id="255"/>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56"/>
    </w:p>
    <w:p w14:paraId="2F1FC380" w14:textId="25D120BB" w:rsidR="00926D2C" w:rsidRPr="00663CB5" w:rsidRDefault="00E83B4C" w:rsidP="00901C98">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1738F8" w:rsidRPr="00663CB5">
        <w:rPr>
          <w:rFonts w:ascii="Arial" w:eastAsia="Calibri" w:hAnsi="Arial" w:cs="Arial"/>
          <w:sz w:val="20"/>
        </w:rPr>
        <w:t>31 д</w:t>
      </w:r>
      <w:r w:rsidR="001738F8">
        <w:rPr>
          <w:rFonts w:ascii="Arial" w:eastAsia="Calibri" w:hAnsi="Arial" w:cs="Arial"/>
          <w:sz w:val="20"/>
        </w:rPr>
        <w:t xml:space="preserve">екември </w:t>
      </w:r>
      <w:r w:rsidR="008A09BC" w:rsidRPr="00663CB5">
        <w:rPr>
          <w:rFonts w:ascii="Arial" w:eastAsia="Calibri" w:hAnsi="Arial" w:cs="Arial"/>
          <w:sz w:val="20"/>
        </w:rPr>
        <w:t>20</w:t>
      </w:r>
      <w:r w:rsidR="00D311BC">
        <w:rPr>
          <w:rFonts w:ascii="Arial" w:eastAsia="Calibri" w:hAnsi="Arial" w:cs="Arial"/>
          <w:sz w:val="20"/>
        </w:rPr>
        <w:t>2</w:t>
      </w:r>
      <w:r w:rsidR="00901C98">
        <w:rPr>
          <w:rFonts w:ascii="Arial" w:eastAsia="Calibri" w:hAnsi="Arial" w:cs="Arial"/>
          <w:sz w:val="20"/>
        </w:rPr>
        <w:t>5</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379316C9" w14:textId="77777777" w:rsidR="00901C98" w:rsidRDefault="00901C98" w:rsidP="00D43EF2">
      <w:pPr>
        <w:pStyle w:val="Heading2"/>
        <w:spacing w:before="0"/>
        <w:rPr>
          <w:rFonts w:ascii="Arial" w:hAnsi="Arial" w:cs="Arial"/>
          <w:i/>
          <w:sz w:val="20"/>
          <w:szCs w:val="20"/>
          <w:lang w:val="bg-BG"/>
        </w:rPr>
      </w:pPr>
      <w:bookmarkStart w:id="258" w:name="_Hlk517279915"/>
      <w:bookmarkEnd w:id="257"/>
    </w:p>
    <w:p w14:paraId="202855FD" w14:textId="43EE330B" w:rsidR="00D43EF2" w:rsidRDefault="00D43EF2" w:rsidP="00D43EF2">
      <w:pPr>
        <w:pStyle w:val="Heading2"/>
        <w:spacing w:before="0"/>
        <w:rPr>
          <w:rFonts w:ascii="Arial" w:hAnsi="Arial" w:cs="Arial"/>
          <w:i/>
          <w:sz w:val="20"/>
          <w:szCs w:val="20"/>
          <w:lang w:val="bg-BG"/>
        </w:rPr>
      </w:pPr>
      <w:bookmarkStart w:id="259" w:name="_Toc195005052"/>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901C98">
        <w:rPr>
          <w:rFonts w:ascii="Arial" w:hAnsi="Arial" w:cs="Arial"/>
          <w:i/>
          <w:sz w:val="20"/>
          <w:szCs w:val="20"/>
          <w:lang w:val="bg-BG"/>
        </w:rPr>
        <w:t xml:space="preserve"> </w:t>
      </w:r>
      <w:r w:rsidR="007A3C00">
        <w:rPr>
          <w:rFonts w:ascii="Arial" w:hAnsi="Arial" w:cs="Arial"/>
          <w:i/>
          <w:sz w:val="20"/>
          <w:szCs w:val="20"/>
          <w:lang w:val="bg-BG"/>
        </w:rPr>
        <w:t>четвърто</w:t>
      </w:r>
      <w:r w:rsidR="00901C98">
        <w:rPr>
          <w:rFonts w:ascii="Arial" w:hAnsi="Arial" w:cs="Arial"/>
          <w:i/>
          <w:sz w:val="20"/>
          <w:szCs w:val="20"/>
          <w:lang w:val="bg-BG"/>
        </w:rPr>
        <w:t xml:space="preserve"> тримесечие на </w:t>
      </w:r>
      <w:r w:rsidR="00D311BC" w:rsidRPr="00CA29CF">
        <w:rPr>
          <w:rFonts w:ascii="Arial" w:hAnsi="Arial" w:cs="Arial"/>
          <w:i/>
          <w:sz w:val="20"/>
          <w:szCs w:val="20"/>
          <w:lang w:val="bg-BG"/>
        </w:rPr>
        <w:t xml:space="preserve"> 202</w:t>
      </w:r>
      <w:r w:rsidR="00901C98">
        <w:rPr>
          <w:rFonts w:ascii="Arial" w:hAnsi="Arial" w:cs="Arial"/>
          <w:i/>
          <w:sz w:val="20"/>
          <w:szCs w:val="20"/>
          <w:lang w:val="bg-BG"/>
        </w:rPr>
        <w:t>5</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59"/>
    </w:p>
    <w:p w14:paraId="47AD81FE" w14:textId="77777777" w:rsidR="00901C98" w:rsidRPr="00901C98" w:rsidRDefault="00901C98" w:rsidP="00901C98"/>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0C53E8F" w14:textId="02634F96" w:rsidR="007D3008" w:rsidRPr="00CA29CF" w:rsidRDefault="007D3008" w:rsidP="00663CB5">
      <w:pPr>
        <w:shd w:val="clear" w:color="auto" w:fill="FFFFFF"/>
        <w:spacing w:line="276" w:lineRule="auto"/>
        <w:rPr>
          <w:rFonts w:ascii="Arial" w:hAnsi="Arial" w:cs="Arial"/>
          <w:sz w:val="20"/>
        </w:rPr>
      </w:pPr>
      <w:r>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w:t>
      </w:r>
      <w:r w:rsidR="00BF089D">
        <w:rPr>
          <w:rFonts w:ascii="Arial" w:hAnsi="Arial" w:cs="Arial"/>
          <w:sz w:val="20"/>
        </w:rPr>
        <w:t>,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5DF98CFE"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08AD6923" w14:textId="3579B58A" w:rsidR="00BF089D" w:rsidRPr="0060628C" w:rsidRDefault="00050E75" w:rsidP="0060628C">
      <w:pPr>
        <w:shd w:val="clear" w:color="auto" w:fill="FFFFFF"/>
        <w:spacing w:line="276" w:lineRule="auto"/>
        <w:rPr>
          <w:rFonts w:ascii="Arial" w:hAnsi="Arial" w:cs="Arial"/>
          <w:bCs/>
          <w:sz w:val="20"/>
        </w:rPr>
      </w:pPr>
      <w:r>
        <w:rPr>
          <w:rFonts w:ascii="Arial" w:hAnsi="Arial" w:cs="Arial"/>
          <w:bCs/>
          <w:sz w:val="20"/>
        </w:rPr>
        <w:t>За</w:t>
      </w:r>
      <w:r w:rsidRPr="0060628C">
        <w:rPr>
          <w:rFonts w:ascii="Arial" w:hAnsi="Arial" w:cs="Arial"/>
          <w:bCs/>
          <w:sz w:val="20"/>
        </w:rPr>
        <w:t xml:space="preserve"> </w:t>
      </w:r>
      <w:r w:rsidR="00BF089D" w:rsidRPr="0060628C">
        <w:rPr>
          <w:rFonts w:ascii="Arial" w:hAnsi="Arial" w:cs="Arial"/>
          <w:bCs/>
          <w:sz w:val="20"/>
        </w:rPr>
        <w:t>2024 г. се оч</w:t>
      </w:r>
      <w:r w:rsidR="0060628C">
        <w:rPr>
          <w:rFonts w:ascii="Arial" w:hAnsi="Arial" w:cs="Arial"/>
          <w:bCs/>
          <w:sz w:val="20"/>
        </w:rPr>
        <w:t>а</w:t>
      </w:r>
      <w:r w:rsidR="00BF089D" w:rsidRPr="0060628C">
        <w:rPr>
          <w:rFonts w:ascii="Arial" w:hAnsi="Arial" w:cs="Arial"/>
          <w:bCs/>
          <w:sz w:val="20"/>
        </w:rPr>
        <w:t>ква</w:t>
      </w:r>
      <w:r w:rsidR="00F91B7A">
        <w:rPr>
          <w:rFonts w:ascii="Arial" w:hAnsi="Arial" w:cs="Arial"/>
          <w:bCs/>
          <w:sz w:val="20"/>
        </w:rPr>
        <w:t>ше</w:t>
      </w:r>
      <w:r w:rsidR="00BF089D" w:rsidRPr="0060628C">
        <w:rPr>
          <w:rFonts w:ascii="Arial" w:hAnsi="Arial" w:cs="Arial"/>
          <w:bCs/>
          <w:sz w:val="20"/>
        </w:rPr>
        <w:t xml:space="preserve"> растежът на БВП на България да възлезе на 2.</w:t>
      </w:r>
      <w:r>
        <w:rPr>
          <w:rFonts w:ascii="Arial" w:hAnsi="Arial" w:cs="Arial"/>
          <w:bCs/>
          <w:sz w:val="20"/>
        </w:rPr>
        <w:t>8</w:t>
      </w:r>
      <w:r w:rsidR="00BF089D" w:rsidRPr="0060628C">
        <w:rPr>
          <w:rFonts w:ascii="Arial" w:hAnsi="Arial" w:cs="Arial"/>
          <w:bCs/>
          <w:sz w:val="20"/>
        </w:rPr>
        <w:t xml:space="preserve">%, което  се определя от положителния принос на вътрешното търсене, докато нетният износ и изменението на запасите се очакваше да имат отрицателен принос. Вътрешното търсене се предвижда да бъде подкрепено предимно от нарастването на частното потребление в условията на повишаващи се доходи от труд в реално изражение, както и от по-високо правителствено потребление. За ускоряването на растежа на реалния БВП спрямо </w:t>
      </w:r>
      <w:r w:rsidR="0060628C">
        <w:rPr>
          <w:rFonts w:ascii="Arial" w:hAnsi="Arial" w:cs="Arial"/>
          <w:bCs/>
          <w:sz w:val="20"/>
        </w:rPr>
        <w:t>2023</w:t>
      </w:r>
      <w:r w:rsidR="00BF089D" w:rsidRPr="0060628C">
        <w:rPr>
          <w:rFonts w:ascii="Arial" w:hAnsi="Arial" w:cs="Arial"/>
          <w:bCs/>
          <w:sz w:val="20"/>
        </w:rPr>
        <w:t xml:space="preserve"> година основно влияние оказва очакваното свиване на силно отрицателния принос на запасите, наблюдаван през 2023 г. Прогнозира</w:t>
      </w:r>
      <w:r w:rsidR="0060628C" w:rsidRPr="0060628C">
        <w:rPr>
          <w:rFonts w:ascii="Arial" w:hAnsi="Arial" w:cs="Arial"/>
          <w:bCs/>
          <w:sz w:val="20"/>
        </w:rPr>
        <w:t xml:space="preserve"> се</w:t>
      </w:r>
      <w:r w:rsidR="00BF089D" w:rsidRPr="0060628C">
        <w:rPr>
          <w:rFonts w:ascii="Arial" w:hAnsi="Arial" w:cs="Arial"/>
          <w:bCs/>
          <w:sz w:val="20"/>
        </w:rPr>
        <w:t xml:space="preserve"> растежът на реалния БВП да се ускори до 3.2% през 2025 г. и след това да се забави до 2.9% през 2026 г., като тази динамика в голяма степен се определя от заложения профил на публичните инвестиции и свързания с тях внос. Прогнозата за годишната инфлация е тя да се забави до 2.2% в края на 2024 г., а средногодишната инфлация да възлезе на 2.5%. Основните фактори, които ще допринасят за забавянето на инфлацията, са свързани предимно с базови ефекти от значителните увеличения на цените през 2023 г. в групите на базисните компоненти и хранителните продукти, както и с поевтиняването на енергийните продукти в резултат на понижаването на цената на петрола на международните пазари. Факторите, които ще продължат да оказват натиск за повишаване на цените както в краткосрочен, </w:t>
      </w:r>
      <w:r w:rsidR="00BF089D" w:rsidRPr="0060628C">
        <w:rPr>
          <w:rFonts w:ascii="Arial" w:hAnsi="Arial" w:cs="Arial"/>
          <w:bCs/>
          <w:sz w:val="20"/>
        </w:rPr>
        <w:lastRenderedPageBreak/>
        <w:t>така и в средносрочен период, остават прогнозираните високи темпове на растеж на разходите за труд на единица продукция и на частното потребление. В резултат на това се очаква базисните компоненти да имат най-висок положителен принос за общата инфлация през периода 2024–2026 г., следвани от хранителните продукти. Очаква</w:t>
      </w:r>
      <w:r w:rsidR="0060628C" w:rsidRPr="0060628C">
        <w:rPr>
          <w:rFonts w:ascii="Arial" w:hAnsi="Arial" w:cs="Arial"/>
          <w:bCs/>
          <w:sz w:val="20"/>
        </w:rPr>
        <w:t xml:space="preserve"> се </w:t>
      </w:r>
      <w:r w:rsidR="00BF089D" w:rsidRPr="0060628C">
        <w:rPr>
          <w:rFonts w:ascii="Arial" w:hAnsi="Arial" w:cs="Arial"/>
          <w:bCs/>
          <w:sz w:val="20"/>
        </w:rPr>
        <w:t xml:space="preserve"> темпът на нарастване на хармонизирания индекс на потребителските цени (ХИПЦ) да възлезе на 2.8% в края на 2025 г. (при средногодишна инфлация от 2.7%) и да се забави до 2.6% в края на 2026 г. (при средногодишна инфлация от 2.7%). Рисковете пред прогнозата за растежа на реалния БВП се оценяват като балансирани за 2024 г., докато за 2025 г. и 2026 г. преобладават рискове за реализиране на по-нисък растеж спрямо този в базисния сценарий с оглед на продължаващите глобални геополитически конфликти. В допълнение продължават да съществуват значителни вътрешни рискове за по-бавно от заложеното в прогнозата изпълнение на инвестиционни проекти, финансирани както с национални средства, така и със ср</w:t>
      </w:r>
      <w:r w:rsidR="0060628C" w:rsidRPr="0060628C">
        <w:rPr>
          <w:rFonts w:ascii="Arial" w:hAnsi="Arial" w:cs="Arial"/>
          <w:bCs/>
          <w:sz w:val="20"/>
        </w:rPr>
        <w:t>едства от ЕС.</w:t>
      </w:r>
    </w:p>
    <w:p w14:paraId="5FB6B46B" w14:textId="18E891E6"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w:t>
      </w:r>
      <w:r w:rsidR="00E57EFE">
        <w:rPr>
          <w:rFonts w:ascii="Arial" w:hAnsi="Arial" w:cs="Arial"/>
          <w:sz w:val="20"/>
        </w:rPr>
        <w:t>4</w:t>
      </w:r>
      <w:r w:rsidR="00EA4ADA" w:rsidRPr="00CA29CF">
        <w:rPr>
          <w:rFonts w:ascii="Arial" w:hAnsi="Arial" w:cs="Arial"/>
          <w:sz w:val="20"/>
        </w:rPr>
        <w:t>г. и през 202</w:t>
      </w:r>
      <w:r w:rsidR="00E57EFE">
        <w:rPr>
          <w:rFonts w:ascii="Arial" w:hAnsi="Arial" w:cs="Arial"/>
          <w:sz w:val="20"/>
        </w:rPr>
        <w:t>5</w:t>
      </w:r>
      <w:r w:rsidR="00EA4ADA" w:rsidRPr="00CA29CF">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60" w:name="_Toc195005053"/>
      <w:r w:rsidRPr="00CA29CF">
        <w:rPr>
          <w:rFonts w:ascii="Arial" w:hAnsi="Arial" w:cs="Arial"/>
          <w:snapToGrid w:val="0"/>
          <w:sz w:val="20"/>
          <w:szCs w:val="20"/>
          <w:lang w:val="bg-BG"/>
        </w:rPr>
        <w:t>V. ФИНАНСОВИ ПОКАЗАТЕЛИ</w:t>
      </w:r>
      <w:bookmarkEnd w:id="260"/>
    </w:p>
    <w:p w14:paraId="6109984C" w14:textId="77777777" w:rsidR="00E5052A" w:rsidRPr="00B14C47" w:rsidRDefault="00B66DF8" w:rsidP="00B66DF8">
      <w:pPr>
        <w:rPr>
          <w:rFonts w:ascii="Arial" w:hAnsi="Arial" w:cs="Arial"/>
          <w:sz w:val="20"/>
        </w:rPr>
      </w:pPr>
      <w:bookmarkStart w:id="261"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8"/>
      <w:bookmarkEnd w:id="261"/>
    </w:p>
    <w:p w14:paraId="11DEBB4E" w14:textId="77777777" w:rsidR="00995204" w:rsidRDefault="00995204" w:rsidP="00E57EFE">
      <w:pPr>
        <w:ind w:left="8496"/>
        <w:rPr>
          <w:rFonts w:ascii="Arial" w:hAnsi="Arial" w:cs="Arial"/>
          <w:sz w:val="20"/>
        </w:rPr>
      </w:pPr>
    </w:p>
    <w:p w14:paraId="1078926B" w14:textId="77777777" w:rsidR="00995204" w:rsidRDefault="00995204" w:rsidP="00E57EFE">
      <w:pPr>
        <w:ind w:left="8496"/>
        <w:rPr>
          <w:rFonts w:ascii="Arial" w:hAnsi="Arial" w:cs="Arial"/>
          <w:sz w:val="20"/>
        </w:rPr>
      </w:pPr>
    </w:p>
    <w:p w14:paraId="654605E1" w14:textId="28C45EE0" w:rsidR="00AE2E84" w:rsidRDefault="00AE2E84" w:rsidP="00E57EFE">
      <w:pPr>
        <w:ind w:left="8496"/>
        <w:rPr>
          <w:rFonts w:ascii="Arial" w:hAnsi="Arial" w:cs="Arial"/>
          <w:sz w:val="20"/>
        </w:rPr>
      </w:pPr>
      <w:r>
        <w:rPr>
          <w:rFonts w:ascii="Arial" w:hAnsi="Arial" w:cs="Arial"/>
          <w:sz w:val="20"/>
        </w:rPr>
        <w:t>хил.лв</w:t>
      </w:r>
      <w:r w:rsidR="00E57EFE">
        <w:rPr>
          <w:rFonts w:ascii="Arial" w:hAnsi="Arial" w:cs="Arial"/>
          <w:sz w:val="20"/>
        </w:rPr>
        <w:t>.</w:t>
      </w:r>
    </w:p>
    <w:p w14:paraId="11DED14D" w14:textId="77777777" w:rsidR="00663CB5" w:rsidRPr="00B14C47" w:rsidRDefault="00663CB5">
      <w:pPr>
        <w:rPr>
          <w:rFonts w:ascii="Arial" w:hAnsi="Arial" w:cs="Arial"/>
          <w:sz w:val="20"/>
        </w:rPr>
      </w:pPr>
    </w:p>
    <w:p w14:paraId="6938F094" w14:textId="339679CC" w:rsidR="00D43EF2" w:rsidRDefault="007A3C00">
      <w:pPr>
        <w:rPr>
          <w:rFonts w:ascii="Arial" w:hAnsi="Arial" w:cs="Arial"/>
          <w:sz w:val="20"/>
        </w:rPr>
      </w:pPr>
      <w:r w:rsidRPr="007A3C00">
        <w:rPr>
          <w:noProof/>
        </w:rPr>
        <w:drawing>
          <wp:inline distT="0" distB="0" distL="0" distR="0" wp14:anchorId="16386AB9" wp14:editId="0AE5EB4C">
            <wp:extent cx="6011545" cy="5314315"/>
            <wp:effectExtent l="0" t="0" r="8255" b="635"/>
            <wp:docPr id="1910626562"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1545" cy="5314315"/>
                    </a:xfrm>
                    <a:prstGeom prst="rect">
                      <a:avLst/>
                    </a:prstGeom>
                    <a:noFill/>
                    <a:ln>
                      <a:noFill/>
                    </a:ln>
                  </pic:spPr>
                </pic:pic>
              </a:graphicData>
            </a:graphic>
          </wp:inline>
        </w:drawing>
      </w:r>
    </w:p>
    <w:sectPr w:rsidR="00D43EF2" w:rsidSect="00663CB5">
      <w:headerReference w:type="default" r:id="rId22"/>
      <w:footerReference w:type="default" r:id="rId23"/>
      <w:footerReference w:type="first" r:id="rId24"/>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C2E5" w14:textId="77777777" w:rsidR="000E1F54" w:rsidRDefault="000E1F54">
      <w:r>
        <w:separator/>
      </w:r>
    </w:p>
  </w:endnote>
  <w:endnote w:type="continuationSeparator" w:id="0">
    <w:p w14:paraId="450D52CE" w14:textId="77777777" w:rsidR="000E1F54" w:rsidRDefault="000E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Cambria"/>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Content>
      <w:p w14:paraId="7E4C7A8D" w14:textId="2B7EA5D4" w:rsidR="00F7124C" w:rsidRDefault="00F7124C">
        <w:pPr>
          <w:pStyle w:val="Footer"/>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Footer"/>
      <w:jc w:val="right"/>
    </w:pPr>
  </w:p>
  <w:p w14:paraId="7DFFF18A" w14:textId="77777777" w:rsidR="00F7124C" w:rsidRDefault="00F7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4B92" w14:textId="77777777" w:rsidR="000E1F54" w:rsidRDefault="000E1F54">
      <w:r>
        <w:separator/>
      </w:r>
    </w:p>
  </w:footnote>
  <w:footnote w:type="continuationSeparator" w:id="0">
    <w:p w14:paraId="4629E892" w14:textId="77777777" w:rsidR="000E1F54" w:rsidRDefault="000E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04F6FB81" w:rsidR="00F7124C" w:rsidRPr="0016590A" w:rsidRDefault="005E2DD5" w:rsidP="002540C6">
    <w:pPr>
      <w:pStyle w:val="Header"/>
      <w:jc w:val="both"/>
      <w:rPr>
        <w:rFonts w:ascii="Arial" w:hAnsi="Arial" w:cs="Arial"/>
        <w:b/>
        <w:i/>
        <w:sz w:val="18"/>
        <w:szCs w:val="20"/>
      </w:rPr>
    </w:pPr>
    <w:r>
      <w:rPr>
        <w:rFonts w:ascii="Arial" w:hAnsi="Arial" w:cs="Arial"/>
        <w:b/>
        <w:i/>
        <w:sz w:val="18"/>
        <w:szCs w:val="20"/>
      </w:rPr>
      <w:t>Предварителен и</w:t>
    </w:r>
    <w:r w:rsidR="00F7124C" w:rsidRPr="00923700">
      <w:rPr>
        <w:rFonts w:ascii="Arial" w:hAnsi="Arial" w:cs="Arial"/>
        <w:b/>
        <w:i/>
        <w:sz w:val="18"/>
        <w:szCs w:val="20"/>
      </w:rPr>
      <w:t>ндивидуален</w:t>
    </w:r>
    <w:r w:rsidR="00F7124C">
      <w:rPr>
        <w:rFonts w:ascii="Arial" w:hAnsi="Arial" w:cs="Arial"/>
        <w:b/>
        <w:i/>
        <w:color w:val="FF0000"/>
        <w:sz w:val="18"/>
        <w:szCs w:val="20"/>
      </w:rPr>
      <w:t xml:space="preserve"> </w:t>
    </w:r>
    <w:r w:rsidR="00F7124C">
      <w:rPr>
        <w:rFonts w:ascii="Arial" w:hAnsi="Arial" w:cs="Arial"/>
        <w:b/>
        <w:i/>
        <w:sz w:val="18"/>
        <w:szCs w:val="20"/>
      </w:rPr>
      <w:t>ф</w:t>
    </w:r>
    <w:r w:rsidR="00F7124C" w:rsidRPr="005F65B4">
      <w:rPr>
        <w:rFonts w:ascii="Arial" w:hAnsi="Arial" w:cs="Arial"/>
        <w:b/>
        <w:i/>
        <w:sz w:val="18"/>
        <w:szCs w:val="20"/>
      </w:rPr>
      <w:t xml:space="preserve">инансов отчет за </w:t>
    </w:r>
    <w:r w:rsidR="00F7124C">
      <w:rPr>
        <w:rFonts w:ascii="Arial" w:hAnsi="Arial" w:cs="Arial"/>
        <w:b/>
        <w:i/>
        <w:sz w:val="18"/>
        <w:szCs w:val="20"/>
      </w:rPr>
      <w:t>периода,</w:t>
    </w:r>
    <w:r w:rsidR="00F7124C" w:rsidRPr="005F65B4">
      <w:rPr>
        <w:rFonts w:ascii="Arial" w:hAnsi="Arial" w:cs="Arial"/>
        <w:b/>
        <w:i/>
        <w:sz w:val="18"/>
        <w:szCs w:val="20"/>
      </w:rPr>
      <w:t xml:space="preserve"> завършващ</w:t>
    </w:r>
    <w:r w:rsidR="00F7124C">
      <w:rPr>
        <w:rFonts w:ascii="Arial" w:hAnsi="Arial" w:cs="Arial"/>
        <w:b/>
        <w:i/>
        <w:sz w:val="18"/>
        <w:szCs w:val="20"/>
      </w:rPr>
      <w:t xml:space="preserve"> на</w:t>
    </w:r>
    <w:r w:rsidR="00F7124C" w:rsidRPr="005F65B4">
      <w:rPr>
        <w:rFonts w:ascii="Arial" w:hAnsi="Arial" w:cs="Arial"/>
        <w:b/>
        <w:i/>
        <w:sz w:val="18"/>
        <w:szCs w:val="20"/>
      </w:rPr>
      <w:t xml:space="preserve"> </w:t>
    </w:r>
    <w:r w:rsidR="00F7124C">
      <w:rPr>
        <w:rFonts w:ascii="Arial" w:hAnsi="Arial" w:cs="Arial"/>
        <w:b/>
        <w:i/>
        <w:sz w:val="18"/>
        <w:szCs w:val="20"/>
        <w:lang w:val="en-US"/>
      </w:rPr>
      <w:t>3</w:t>
    </w:r>
    <w:r w:rsidR="00D433CD">
      <w:rPr>
        <w:rFonts w:ascii="Arial" w:hAnsi="Arial" w:cs="Arial"/>
        <w:b/>
        <w:i/>
        <w:sz w:val="18"/>
        <w:szCs w:val="20"/>
      </w:rPr>
      <w:t>1</w:t>
    </w:r>
    <w:r w:rsidR="00F7124C">
      <w:rPr>
        <w:rFonts w:ascii="Arial" w:hAnsi="Arial" w:cs="Arial"/>
        <w:b/>
        <w:i/>
        <w:sz w:val="18"/>
        <w:szCs w:val="20"/>
        <w:lang w:val="en-US"/>
      </w:rPr>
      <w:t xml:space="preserve"> </w:t>
    </w:r>
    <w:r w:rsidR="00D433CD">
      <w:rPr>
        <w:rFonts w:ascii="Arial" w:hAnsi="Arial" w:cs="Arial"/>
        <w:b/>
        <w:i/>
        <w:sz w:val="18"/>
        <w:szCs w:val="20"/>
      </w:rPr>
      <w:t>Деке</w:t>
    </w:r>
    <w:r w:rsidR="0099563F">
      <w:rPr>
        <w:rFonts w:ascii="Arial" w:hAnsi="Arial" w:cs="Arial"/>
        <w:b/>
        <w:i/>
        <w:sz w:val="18"/>
        <w:szCs w:val="20"/>
      </w:rPr>
      <w:t>мври</w:t>
    </w:r>
    <w:r w:rsidR="00F7124C">
      <w:rPr>
        <w:rFonts w:ascii="Arial" w:hAnsi="Arial" w:cs="Arial"/>
        <w:b/>
        <w:i/>
        <w:sz w:val="18"/>
        <w:szCs w:val="20"/>
      </w:rPr>
      <w:t xml:space="preserve"> 202</w:t>
    </w:r>
    <w:r w:rsidR="0016590A">
      <w:rPr>
        <w:rFonts w:ascii="Arial" w:hAnsi="Arial" w:cs="Arial"/>
        <w:b/>
        <w:i/>
        <w:sz w:val="18"/>
        <w:szCs w:val="20"/>
      </w:rPr>
      <w:t>5</w:t>
    </w:r>
  </w:p>
  <w:p w14:paraId="053E3236" w14:textId="77777777" w:rsidR="00F7124C" w:rsidRPr="00B165BB" w:rsidRDefault="00F7124C">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84401189">
    <w:abstractNumId w:val="12"/>
  </w:num>
  <w:num w:numId="2" w16cid:durableId="1301695400">
    <w:abstractNumId w:val="2"/>
  </w:num>
  <w:num w:numId="3" w16cid:durableId="541868764">
    <w:abstractNumId w:val="9"/>
  </w:num>
  <w:num w:numId="4" w16cid:durableId="325481980">
    <w:abstractNumId w:val="5"/>
  </w:num>
  <w:num w:numId="5" w16cid:durableId="1494641161">
    <w:abstractNumId w:val="10"/>
  </w:num>
  <w:num w:numId="6" w16cid:durableId="2013488612">
    <w:abstractNumId w:val="0"/>
  </w:num>
  <w:num w:numId="7" w16cid:durableId="1231888892">
    <w:abstractNumId w:val="1"/>
  </w:num>
  <w:num w:numId="8" w16cid:durableId="1365206550">
    <w:abstractNumId w:val="4"/>
  </w:num>
  <w:num w:numId="9" w16cid:durableId="257953390">
    <w:abstractNumId w:val="7"/>
  </w:num>
  <w:num w:numId="10" w16cid:durableId="2011062159">
    <w:abstractNumId w:val="11"/>
  </w:num>
  <w:num w:numId="11" w16cid:durableId="903641019">
    <w:abstractNumId w:val="8"/>
  </w:num>
  <w:num w:numId="12" w16cid:durableId="352536909">
    <w:abstractNumId w:val="6"/>
  </w:num>
  <w:num w:numId="13" w16cid:durableId="9335107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F8"/>
    <w:rsid w:val="000025D6"/>
    <w:rsid w:val="00003402"/>
    <w:rsid w:val="000075BE"/>
    <w:rsid w:val="00007ECD"/>
    <w:rsid w:val="000108E2"/>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2FF1"/>
    <w:rsid w:val="0004366A"/>
    <w:rsid w:val="0004680F"/>
    <w:rsid w:val="00050E75"/>
    <w:rsid w:val="00054D61"/>
    <w:rsid w:val="000551C3"/>
    <w:rsid w:val="00055777"/>
    <w:rsid w:val="000562F1"/>
    <w:rsid w:val="00057688"/>
    <w:rsid w:val="00057C67"/>
    <w:rsid w:val="00060BBB"/>
    <w:rsid w:val="00061205"/>
    <w:rsid w:val="00061274"/>
    <w:rsid w:val="00061563"/>
    <w:rsid w:val="00061737"/>
    <w:rsid w:val="0006683D"/>
    <w:rsid w:val="00070C4E"/>
    <w:rsid w:val="000721BA"/>
    <w:rsid w:val="00072AEC"/>
    <w:rsid w:val="00074156"/>
    <w:rsid w:val="000745B3"/>
    <w:rsid w:val="00076522"/>
    <w:rsid w:val="00077DFD"/>
    <w:rsid w:val="00083BA2"/>
    <w:rsid w:val="00084B1B"/>
    <w:rsid w:val="000877E0"/>
    <w:rsid w:val="00090D9E"/>
    <w:rsid w:val="00092FB1"/>
    <w:rsid w:val="00094DE9"/>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567"/>
    <w:rsid w:val="000E0D04"/>
    <w:rsid w:val="000E1F54"/>
    <w:rsid w:val="000E249E"/>
    <w:rsid w:val="000E4B4C"/>
    <w:rsid w:val="000E541E"/>
    <w:rsid w:val="000E6F8C"/>
    <w:rsid w:val="000F0682"/>
    <w:rsid w:val="000F2A01"/>
    <w:rsid w:val="000F4833"/>
    <w:rsid w:val="000F57AF"/>
    <w:rsid w:val="000F60A1"/>
    <w:rsid w:val="000F632F"/>
    <w:rsid w:val="000F643F"/>
    <w:rsid w:val="000F77E7"/>
    <w:rsid w:val="001009D0"/>
    <w:rsid w:val="00101BC2"/>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2E6C"/>
    <w:rsid w:val="0016590A"/>
    <w:rsid w:val="00165AE3"/>
    <w:rsid w:val="00171AD9"/>
    <w:rsid w:val="0017365D"/>
    <w:rsid w:val="001738F8"/>
    <w:rsid w:val="00174D53"/>
    <w:rsid w:val="001761F5"/>
    <w:rsid w:val="00176853"/>
    <w:rsid w:val="00180BC2"/>
    <w:rsid w:val="00187AF2"/>
    <w:rsid w:val="001902B5"/>
    <w:rsid w:val="0019177E"/>
    <w:rsid w:val="00191A1C"/>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7A42"/>
    <w:rsid w:val="002130B2"/>
    <w:rsid w:val="00217144"/>
    <w:rsid w:val="00220E40"/>
    <w:rsid w:val="00221726"/>
    <w:rsid w:val="00221CF1"/>
    <w:rsid w:val="002242BE"/>
    <w:rsid w:val="0022746F"/>
    <w:rsid w:val="00227972"/>
    <w:rsid w:val="0023120E"/>
    <w:rsid w:val="00232DBB"/>
    <w:rsid w:val="002345EC"/>
    <w:rsid w:val="00242419"/>
    <w:rsid w:val="002439EE"/>
    <w:rsid w:val="00244DA3"/>
    <w:rsid w:val="00253EF4"/>
    <w:rsid w:val="002540C6"/>
    <w:rsid w:val="0025617E"/>
    <w:rsid w:val="002571A2"/>
    <w:rsid w:val="0025784E"/>
    <w:rsid w:val="0026390A"/>
    <w:rsid w:val="00264464"/>
    <w:rsid w:val="002647C3"/>
    <w:rsid w:val="002704E1"/>
    <w:rsid w:val="00271A94"/>
    <w:rsid w:val="00271AC7"/>
    <w:rsid w:val="00277511"/>
    <w:rsid w:val="0027786F"/>
    <w:rsid w:val="00280DF6"/>
    <w:rsid w:val="00281733"/>
    <w:rsid w:val="00281B1C"/>
    <w:rsid w:val="002826F9"/>
    <w:rsid w:val="00282A1E"/>
    <w:rsid w:val="00283A7E"/>
    <w:rsid w:val="002848F9"/>
    <w:rsid w:val="00286BC6"/>
    <w:rsid w:val="0028740B"/>
    <w:rsid w:val="00291862"/>
    <w:rsid w:val="002949D9"/>
    <w:rsid w:val="002A0B90"/>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E050C"/>
    <w:rsid w:val="002E3B88"/>
    <w:rsid w:val="002E3C5E"/>
    <w:rsid w:val="002E4F71"/>
    <w:rsid w:val="002E5246"/>
    <w:rsid w:val="002E5641"/>
    <w:rsid w:val="002F3A52"/>
    <w:rsid w:val="002F6938"/>
    <w:rsid w:val="002F75A0"/>
    <w:rsid w:val="002F7DFE"/>
    <w:rsid w:val="003008BE"/>
    <w:rsid w:val="00303BA6"/>
    <w:rsid w:val="00304A26"/>
    <w:rsid w:val="003055AC"/>
    <w:rsid w:val="00306D9E"/>
    <w:rsid w:val="00311A44"/>
    <w:rsid w:val="00313C9E"/>
    <w:rsid w:val="003146DC"/>
    <w:rsid w:val="00317640"/>
    <w:rsid w:val="00324F7F"/>
    <w:rsid w:val="003312C8"/>
    <w:rsid w:val="00334065"/>
    <w:rsid w:val="00341B34"/>
    <w:rsid w:val="00342616"/>
    <w:rsid w:val="0034555C"/>
    <w:rsid w:val="003465FA"/>
    <w:rsid w:val="00350BBB"/>
    <w:rsid w:val="0035693D"/>
    <w:rsid w:val="00357879"/>
    <w:rsid w:val="00357EBA"/>
    <w:rsid w:val="003615C2"/>
    <w:rsid w:val="00362B1F"/>
    <w:rsid w:val="00363E26"/>
    <w:rsid w:val="00365894"/>
    <w:rsid w:val="00371150"/>
    <w:rsid w:val="003714F1"/>
    <w:rsid w:val="00376A8F"/>
    <w:rsid w:val="003800AF"/>
    <w:rsid w:val="0038040F"/>
    <w:rsid w:val="0038050C"/>
    <w:rsid w:val="00380872"/>
    <w:rsid w:val="00383333"/>
    <w:rsid w:val="003833F6"/>
    <w:rsid w:val="00384AA7"/>
    <w:rsid w:val="00386648"/>
    <w:rsid w:val="00386BC3"/>
    <w:rsid w:val="00391423"/>
    <w:rsid w:val="00394A51"/>
    <w:rsid w:val="00397204"/>
    <w:rsid w:val="003976B2"/>
    <w:rsid w:val="003A1B5D"/>
    <w:rsid w:val="003A4911"/>
    <w:rsid w:val="003B089B"/>
    <w:rsid w:val="003B1310"/>
    <w:rsid w:val="003B2C58"/>
    <w:rsid w:val="003B7609"/>
    <w:rsid w:val="003C2B93"/>
    <w:rsid w:val="003C312B"/>
    <w:rsid w:val="003C5AC8"/>
    <w:rsid w:val="003C6078"/>
    <w:rsid w:val="003C65AE"/>
    <w:rsid w:val="003C7828"/>
    <w:rsid w:val="003D442F"/>
    <w:rsid w:val="003D6B60"/>
    <w:rsid w:val="003D7171"/>
    <w:rsid w:val="003E1E58"/>
    <w:rsid w:val="003E4DD0"/>
    <w:rsid w:val="003E63A9"/>
    <w:rsid w:val="003E6621"/>
    <w:rsid w:val="003E7658"/>
    <w:rsid w:val="003F0467"/>
    <w:rsid w:val="003F2CA7"/>
    <w:rsid w:val="003F3A4F"/>
    <w:rsid w:val="003F5B1F"/>
    <w:rsid w:val="00401123"/>
    <w:rsid w:val="00402399"/>
    <w:rsid w:val="0040608A"/>
    <w:rsid w:val="00411052"/>
    <w:rsid w:val="004110BA"/>
    <w:rsid w:val="00415525"/>
    <w:rsid w:val="00415A06"/>
    <w:rsid w:val="004161C6"/>
    <w:rsid w:val="00420749"/>
    <w:rsid w:val="00422087"/>
    <w:rsid w:val="0042309E"/>
    <w:rsid w:val="00423A90"/>
    <w:rsid w:val="00423AB6"/>
    <w:rsid w:val="00423CD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961"/>
    <w:rsid w:val="00481B1F"/>
    <w:rsid w:val="00482E75"/>
    <w:rsid w:val="00485C59"/>
    <w:rsid w:val="00485E6E"/>
    <w:rsid w:val="00490113"/>
    <w:rsid w:val="0049164C"/>
    <w:rsid w:val="00492498"/>
    <w:rsid w:val="00492798"/>
    <w:rsid w:val="00496C5B"/>
    <w:rsid w:val="004A0798"/>
    <w:rsid w:val="004A1CD5"/>
    <w:rsid w:val="004A1DC8"/>
    <w:rsid w:val="004A29DB"/>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0011"/>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7E7"/>
    <w:rsid w:val="00512CD0"/>
    <w:rsid w:val="00515F5B"/>
    <w:rsid w:val="00520013"/>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34BA"/>
    <w:rsid w:val="00554F66"/>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7E3"/>
    <w:rsid w:val="005B4BB0"/>
    <w:rsid w:val="005B5BE2"/>
    <w:rsid w:val="005B5E02"/>
    <w:rsid w:val="005B7916"/>
    <w:rsid w:val="005C0D20"/>
    <w:rsid w:val="005C6A94"/>
    <w:rsid w:val="005D2B09"/>
    <w:rsid w:val="005D2EA5"/>
    <w:rsid w:val="005D3B48"/>
    <w:rsid w:val="005D421E"/>
    <w:rsid w:val="005D6CFF"/>
    <w:rsid w:val="005E0F22"/>
    <w:rsid w:val="005E1D8A"/>
    <w:rsid w:val="005E2DD5"/>
    <w:rsid w:val="005E4249"/>
    <w:rsid w:val="005E5724"/>
    <w:rsid w:val="005F0B80"/>
    <w:rsid w:val="005F63DE"/>
    <w:rsid w:val="005F71B2"/>
    <w:rsid w:val="0060197F"/>
    <w:rsid w:val="006038D6"/>
    <w:rsid w:val="0060628C"/>
    <w:rsid w:val="00606E15"/>
    <w:rsid w:val="006100EF"/>
    <w:rsid w:val="006108B5"/>
    <w:rsid w:val="00610D9C"/>
    <w:rsid w:val="00610F57"/>
    <w:rsid w:val="00612C5F"/>
    <w:rsid w:val="00613538"/>
    <w:rsid w:val="00614ED5"/>
    <w:rsid w:val="0061533C"/>
    <w:rsid w:val="00616786"/>
    <w:rsid w:val="00617C53"/>
    <w:rsid w:val="0062161C"/>
    <w:rsid w:val="00625628"/>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04F"/>
    <w:rsid w:val="00655ECC"/>
    <w:rsid w:val="00662BE6"/>
    <w:rsid w:val="00662C25"/>
    <w:rsid w:val="00663CB5"/>
    <w:rsid w:val="00667E8C"/>
    <w:rsid w:val="00675FFC"/>
    <w:rsid w:val="0067707B"/>
    <w:rsid w:val="006813C9"/>
    <w:rsid w:val="006822F0"/>
    <w:rsid w:val="0068387E"/>
    <w:rsid w:val="00683ECB"/>
    <w:rsid w:val="00684AB3"/>
    <w:rsid w:val="00685638"/>
    <w:rsid w:val="00686B44"/>
    <w:rsid w:val="00693D6D"/>
    <w:rsid w:val="006968C6"/>
    <w:rsid w:val="00697983"/>
    <w:rsid w:val="006A35A0"/>
    <w:rsid w:val="006A3B3B"/>
    <w:rsid w:val="006A3B8F"/>
    <w:rsid w:val="006A51F6"/>
    <w:rsid w:val="006B1EE4"/>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3286"/>
    <w:rsid w:val="006E557D"/>
    <w:rsid w:val="006E69DA"/>
    <w:rsid w:val="006E6D4F"/>
    <w:rsid w:val="006E7479"/>
    <w:rsid w:val="006F02F3"/>
    <w:rsid w:val="006F18C8"/>
    <w:rsid w:val="006F32CA"/>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262B"/>
    <w:rsid w:val="00762935"/>
    <w:rsid w:val="00763F3F"/>
    <w:rsid w:val="0076425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1614"/>
    <w:rsid w:val="007A1A59"/>
    <w:rsid w:val="007A3C00"/>
    <w:rsid w:val="007A3CB3"/>
    <w:rsid w:val="007A6EDF"/>
    <w:rsid w:val="007B079E"/>
    <w:rsid w:val="007B1422"/>
    <w:rsid w:val="007B40B9"/>
    <w:rsid w:val="007B574D"/>
    <w:rsid w:val="007B72CA"/>
    <w:rsid w:val="007B7EEE"/>
    <w:rsid w:val="007C1268"/>
    <w:rsid w:val="007C25A7"/>
    <w:rsid w:val="007C330E"/>
    <w:rsid w:val="007C3990"/>
    <w:rsid w:val="007C68B2"/>
    <w:rsid w:val="007D1C91"/>
    <w:rsid w:val="007D2BE6"/>
    <w:rsid w:val="007D3008"/>
    <w:rsid w:val="007D41BF"/>
    <w:rsid w:val="007D565D"/>
    <w:rsid w:val="007D5CEA"/>
    <w:rsid w:val="007D7055"/>
    <w:rsid w:val="007E39CF"/>
    <w:rsid w:val="007E740E"/>
    <w:rsid w:val="007F2231"/>
    <w:rsid w:val="007F24EB"/>
    <w:rsid w:val="007F267D"/>
    <w:rsid w:val="007F67D2"/>
    <w:rsid w:val="007F6AB2"/>
    <w:rsid w:val="00800E94"/>
    <w:rsid w:val="008013BE"/>
    <w:rsid w:val="008023E1"/>
    <w:rsid w:val="00802B5D"/>
    <w:rsid w:val="00802EED"/>
    <w:rsid w:val="008056B7"/>
    <w:rsid w:val="00806F20"/>
    <w:rsid w:val="00812863"/>
    <w:rsid w:val="00815B9B"/>
    <w:rsid w:val="00821996"/>
    <w:rsid w:val="008224B1"/>
    <w:rsid w:val="00823730"/>
    <w:rsid w:val="0082574C"/>
    <w:rsid w:val="0083037A"/>
    <w:rsid w:val="008313B4"/>
    <w:rsid w:val="00832524"/>
    <w:rsid w:val="0083308D"/>
    <w:rsid w:val="008334ED"/>
    <w:rsid w:val="00834135"/>
    <w:rsid w:val="008364CE"/>
    <w:rsid w:val="00836DDC"/>
    <w:rsid w:val="008402AB"/>
    <w:rsid w:val="008403D0"/>
    <w:rsid w:val="00840E9E"/>
    <w:rsid w:val="0084200D"/>
    <w:rsid w:val="008434AD"/>
    <w:rsid w:val="00845C85"/>
    <w:rsid w:val="00856239"/>
    <w:rsid w:val="00856493"/>
    <w:rsid w:val="00860389"/>
    <w:rsid w:val="00860D43"/>
    <w:rsid w:val="00860F2D"/>
    <w:rsid w:val="008623E2"/>
    <w:rsid w:val="00862953"/>
    <w:rsid w:val="00867314"/>
    <w:rsid w:val="00867AB1"/>
    <w:rsid w:val="00867DC6"/>
    <w:rsid w:val="008717DC"/>
    <w:rsid w:val="00874E27"/>
    <w:rsid w:val="00875061"/>
    <w:rsid w:val="00876CCC"/>
    <w:rsid w:val="00877508"/>
    <w:rsid w:val="008811F0"/>
    <w:rsid w:val="00882009"/>
    <w:rsid w:val="008877FF"/>
    <w:rsid w:val="00893237"/>
    <w:rsid w:val="008933A9"/>
    <w:rsid w:val="008935AE"/>
    <w:rsid w:val="008937DD"/>
    <w:rsid w:val="0089528B"/>
    <w:rsid w:val="00896259"/>
    <w:rsid w:val="008A09BC"/>
    <w:rsid w:val="008A1667"/>
    <w:rsid w:val="008A1ECE"/>
    <w:rsid w:val="008A481F"/>
    <w:rsid w:val="008A71BD"/>
    <w:rsid w:val="008A7646"/>
    <w:rsid w:val="008B2A78"/>
    <w:rsid w:val="008B343E"/>
    <w:rsid w:val="008B704A"/>
    <w:rsid w:val="008B70BF"/>
    <w:rsid w:val="008C3805"/>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1C9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147"/>
    <w:rsid w:val="00940771"/>
    <w:rsid w:val="009424ED"/>
    <w:rsid w:val="00943A76"/>
    <w:rsid w:val="00946F85"/>
    <w:rsid w:val="00950E5A"/>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87DF5"/>
    <w:rsid w:val="00991EB2"/>
    <w:rsid w:val="0099286A"/>
    <w:rsid w:val="0099400E"/>
    <w:rsid w:val="00995204"/>
    <w:rsid w:val="00995586"/>
    <w:rsid w:val="0099563F"/>
    <w:rsid w:val="009A16C5"/>
    <w:rsid w:val="009A1FE4"/>
    <w:rsid w:val="009A2A62"/>
    <w:rsid w:val="009A4845"/>
    <w:rsid w:val="009A5133"/>
    <w:rsid w:val="009A7573"/>
    <w:rsid w:val="009B0AA5"/>
    <w:rsid w:val="009B160C"/>
    <w:rsid w:val="009B262F"/>
    <w:rsid w:val="009B2697"/>
    <w:rsid w:val="009B3049"/>
    <w:rsid w:val="009B34C7"/>
    <w:rsid w:val="009B5795"/>
    <w:rsid w:val="009B69A6"/>
    <w:rsid w:val="009B7E70"/>
    <w:rsid w:val="009C232D"/>
    <w:rsid w:val="009C29A1"/>
    <w:rsid w:val="009D1EA8"/>
    <w:rsid w:val="009D3248"/>
    <w:rsid w:val="009D5BCD"/>
    <w:rsid w:val="009D784E"/>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4136"/>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0360"/>
    <w:rsid w:val="00AF4474"/>
    <w:rsid w:val="00AF573A"/>
    <w:rsid w:val="00AF5B4B"/>
    <w:rsid w:val="00AF5B61"/>
    <w:rsid w:val="00B01ACB"/>
    <w:rsid w:val="00B02F17"/>
    <w:rsid w:val="00B0561A"/>
    <w:rsid w:val="00B06843"/>
    <w:rsid w:val="00B07320"/>
    <w:rsid w:val="00B07602"/>
    <w:rsid w:val="00B0760F"/>
    <w:rsid w:val="00B10BD2"/>
    <w:rsid w:val="00B135BC"/>
    <w:rsid w:val="00B13E6D"/>
    <w:rsid w:val="00B1465B"/>
    <w:rsid w:val="00B14C47"/>
    <w:rsid w:val="00B14C84"/>
    <w:rsid w:val="00B16EA3"/>
    <w:rsid w:val="00B203B0"/>
    <w:rsid w:val="00B22647"/>
    <w:rsid w:val="00B2291C"/>
    <w:rsid w:val="00B23C5C"/>
    <w:rsid w:val="00B34B92"/>
    <w:rsid w:val="00B44955"/>
    <w:rsid w:val="00B459E1"/>
    <w:rsid w:val="00B4740C"/>
    <w:rsid w:val="00B47837"/>
    <w:rsid w:val="00B51033"/>
    <w:rsid w:val="00B53DC6"/>
    <w:rsid w:val="00B57D5A"/>
    <w:rsid w:val="00B57E98"/>
    <w:rsid w:val="00B630E5"/>
    <w:rsid w:val="00B64302"/>
    <w:rsid w:val="00B66027"/>
    <w:rsid w:val="00B66DF8"/>
    <w:rsid w:val="00B6715C"/>
    <w:rsid w:val="00B73C56"/>
    <w:rsid w:val="00B73DFF"/>
    <w:rsid w:val="00B7539F"/>
    <w:rsid w:val="00B75471"/>
    <w:rsid w:val="00B82911"/>
    <w:rsid w:val="00B87476"/>
    <w:rsid w:val="00B917D2"/>
    <w:rsid w:val="00BA2B6D"/>
    <w:rsid w:val="00BA43BF"/>
    <w:rsid w:val="00BA5A91"/>
    <w:rsid w:val="00BB26EC"/>
    <w:rsid w:val="00BB30B7"/>
    <w:rsid w:val="00BB4370"/>
    <w:rsid w:val="00BB4C8D"/>
    <w:rsid w:val="00BB4D3B"/>
    <w:rsid w:val="00BB5277"/>
    <w:rsid w:val="00BB5ECA"/>
    <w:rsid w:val="00BC29B1"/>
    <w:rsid w:val="00BC4000"/>
    <w:rsid w:val="00BD0261"/>
    <w:rsid w:val="00BD4996"/>
    <w:rsid w:val="00BD5AE2"/>
    <w:rsid w:val="00BD5DEE"/>
    <w:rsid w:val="00BE533E"/>
    <w:rsid w:val="00BF089D"/>
    <w:rsid w:val="00BF2298"/>
    <w:rsid w:val="00BF5AC1"/>
    <w:rsid w:val="00BF6AAB"/>
    <w:rsid w:val="00BF7229"/>
    <w:rsid w:val="00BF7587"/>
    <w:rsid w:val="00C0035A"/>
    <w:rsid w:val="00C01502"/>
    <w:rsid w:val="00C13396"/>
    <w:rsid w:val="00C13E07"/>
    <w:rsid w:val="00C17567"/>
    <w:rsid w:val="00C24495"/>
    <w:rsid w:val="00C24508"/>
    <w:rsid w:val="00C2548B"/>
    <w:rsid w:val="00C346DF"/>
    <w:rsid w:val="00C40764"/>
    <w:rsid w:val="00C4255D"/>
    <w:rsid w:val="00C42F01"/>
    <w:rsid w:val="00C44262"/>
    <w:rsid w:val="00C442D2"/>
    <w:rsid w:val="00C46F22"/>
    <w:rsid w:val="00C501D0"/>
    <w:rsid w:val="00C501F2"/>
    <w:rsid w:val="00C56F6C"/>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B3740"/>
    <w:rsid w:val="00CB4637"/>
    <w:rsid w:val="00CB78AF"/>
    <w:rsid w:val="00CC18AE"/>
    <w:rsid w:val="00CC3A6B"/>
    <w:rsid w:val="00CC727E"/>
    <w:rsid w:val="00CD1F55"/>
    <w:rsid w:val="00CD2141"/>
    <w:rsid w:val="00CD238C"/>
    <w:rsid w:val="00CD358A"/>
    <w:rsid w:val="00CD3FC4"/>
    <w:rsid w:val="00CD6050"/>
    <w:rsid w:val="00CD6063"/>
    <w:rsid w:val="00CD64B7"/>
    <w:rsid w:val="00CE4BEA"/>
    <w:rsid w:val="00CE5A98"/>
    <w:rsid w:val="00CE5F18"/>
    <w:rsid w:val="00CE7901"/>
    <w:rsid w:val="00CE7C4D"/>
    <w:rsid w:val="00CF1429"/>
    <w:rsid w:val="00CF25C8"/>
    <w:rsid w:val="00CF65DB"/>
    <w:rsid w:val="00D01BC1"/>
    <w:rsid w:val="00D05F2E"/>
    <w:rsid w:val="00D060A0"/>
    <w:rsid w:val="00D10444"/>
    <w:rsid w:val="00D108F8"/>
    <w:rsid w:val="00D10A25"/>
    <w:rsid w:val="00D10E69"/>
    <w:rsid w:val="00D11700"/>
    <w:rsid w:val="00D12853"/>
    <w:rsid w:val="00D13EB6"/>
    <w:rsid w:val="00D14232"/>
    <w:rsid w:val="00D162C5"/>
    <w:rsid w:val="00D245CA"/>
    <w:rsid w:val="00D26965"/>
    <w:rsid w:val="00D27D32"/>
    <w:rsid w:val="00D311BC"/>
    <w:rsid w:val="00D34EF6"/>
    <w:rsid w:val="00D40BCB"/>
    <w:rsid w:val="00D41196"/>
    <w:rsid w:val="00D41E40"/>
    <w:rsid w:val="00D425C2"/>
    <w:rsid w:val="00D42B21"/>
    <w:rsid w:val="00D433CD"/>
    <w:rsid w:val="00D43EF2"/>
    <w:rsid w:val="00D44586"/>
    <w:rsid w:val="00D45B65"/>
    <w:rsid w:val="00D45C04"/>
    <w:rsid w:val="00D45E39"/>
    <w:rsid w:val="00D46018"/>
    <w:rsid w:val="00D51C80"/>
    <w:rsid w:val="00D52583"/>
    <w:rsid w:val="00D52750"/>
    <w:rsid w:val="00D54226"/>
    <w:rsid w:val="00D54AF6"/>
    <w:rsid w:val="00D576CE"/>
    <w:rsid w:val="00D635E3"/>
    <w:rsid w:val="00D66436"/>
    <w:rsid w:val="00D6778B"/>
    <w:rsid w:val="00D67880"/>
    <w:rsid w:val="00D70464"/>
    <w:rsid w:val="00D72250"/>
    <w:rsid w:val="00D72B5F"/>
    <w:rsid w:val="00D75C5F"/>
    <w:rsid w:val="00D7790E"/>
    <w:rsid w:val="00D77F61"/>
    <w:rsid w:val="00D8224A"/>
    <w:rsid w:val="00D8454E"/>
    <w:rsid w:val="00D848C3"/>
    <w:rsid w:val="00D86D20"/>
    <w:rsid w:val="00D87FF7"/>
    <w:rsid w:val="00D92E9B"/>
    <w:rsid w:val="00D95A75"/>
    <w:rsid w:val="00D979CB"/>
    <w:rsid w:val="00DA0251"/>
    <w:rsid w:val="00DA2954"/>
    <w:rsid w:val="00DA34F0"/>
    <w:rsid w:val="00DA6500"/>
    <w:rsid w:val="00DA6815"/>
    <w:rsid w:val="00DB2CA8"/>
    <w:rsid w:val="00DB37F7"/>
    <w:rsid w:val="00DB53D4"/>
    <w:rsid w:val="00DB56EE"/>
    <w:rsid w:val="00DB6077"/>
    <w:rsid w:val="00DC25FB"/>
    <w:rsid w:val="00DC3130"/>
    <w:rsid w:val="00DC4F1A"/>
    <w:rsid w:val="00DD01CB"/>
    <w:rsid w:val="00DD233C"/>
    <w:rsid w:val="00DD57D4"/>
    <w:rsid w:val="00DD59CF"/>
    <w:rsid w:val="00DE3AF3"/>
    <w:rsid w:val="00DE7ED9"/>
    <w:rsid w:val="00DF0048"/>
    <w:rsid w:val="00DF0090"/>
    <w:rsid w:val="00DF227B"/>
    <w:rsid w:val="00DF2DB5"/>
    <w:rsid w:val="00DF3F33"/>
    <w:rsid w:val="00E01E8F"/>
    <w:rsid w:val="00E02E3B"/>
    <w:rsid w:val="00E11C52"/>
    <w:rsid w:val="00E1335D"/>
    <w:rsid w:val="00E14896"/>
    <w:rsid w:val="00E15A42"/>
    <w:rsid w:val="00E15C17"/>
    <w:rsid w:val="00E17B4D"/>
    <w:rsid w:val="00E2262A"/>
    <w:rsid w:val="00E25E4E"/>
    <w:rsid w:val="00E27825"/>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57EFE"/>
    <w:rsid w:val="00E609F7"/>
    <w:rsid w:val="00E60FDD"/>
    <w:rsid w:val="00E6307A"/>
    <w:rsid w:val="00E6325A"/>
    <w:rsid w:val="00E63739"/>
    <w:rsid w:val="00E642F8"/>
    <w:rsid w:val="00E64BB5"/>
    <w:rsid w:val="00E64D2A"/>
    <w:rsid w:val="00E65AF4"/>
    <w:rsid w:val="00E65B2E"/>
    <w:rsid w:val="00E65D11"/>
    <w:rsid w:val="00E66583"/>
    <w:rsid w:val="00E72B83"/>
    <w:rsid w:val="00E730C9"/>
    <w:rsid w:val="00E732ED"/>
    <w:rsid w:val="00E75D9E"/>
    <w:rsid w:val="00E76218"/>
    <w:rsid w:val="00E7632F"/>
    <w:rsid w:val="00E81E86"/>
    <w:rsid w:val="00E83B4C"/>
    <w:rsid w:val="00E85E30"/>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312A"/>
    <w:rsid w:val="00F04442"/>
    <w:rsid w:val="00F06CEC"/>
    <w:rsid w:val="00F06DF7"/>
    <w:rsid w:val="00F10751"/>
    <w:rsid w:val="00F1358F"/>
    <w:rsid w:val="00F13AC1"/>
    <w:rsid w:val="00F16F9D"/>
    <w:rsid w:val="00F23088"/>
    <w:rsid w:val="00F24A1B"/>
    <w:rsid w:val="00F25A16"/>
    <w:rsid w:val="00F2605F"/>
    <w:rsid w:val="00F2790F"/>
    <w:rsid w:val="00F31459"/>
    <w:rsid w:val="00F315BA"/>
    <w:rsid w:val="00F36D46"/>
    <w:rsid w:val="00F37DCD"/>
    <w:rsid w:val="00F37E05"/>
    <w:rsid w:val="00F37F6A"/>
    <w:rsid w:val="00F41403"/>
    <w:rsid w:val="00F4201D"/>
    <w:rsid w:val="00F422BC"/>
    <w:rsid w:val="00F44044"/>
    <w:rsid w:val="00F47719"/>
    <w:rsid w:val="00F5134B"/>
    <w:rsid w:val="00F52883"/>
    <w:rsid w:val="00F54074"/>
    <w:rsid w:val="00F561A2"/>
    <w:rsid w:val="00F5727D"/>
    <w:rsid w:val="00F57299"/>
    <w:rsid w:val="00F606E3"/>
    <w:rsid w:val="00F61093"/>
    <w:rsid w:val="00F62BD0"/>
    <w:rsid w:val="00F62C7F"/>
    <w:rsid w:val="00F64ABB"/>
    <w:rsid w:val="00F660A7"/>
    <w:rsid w:val="00F66352"/>
    <w:rsid w:val="00F7124C"/>
    <w:rsid w:val="00F71F16"/>
    <w:rsid w:val="00F72BE3"/>
    <w:rsid w:val="00F7584B"/>
    <w:rsid w:val="00F81C6E"/>
    <w:rsid w:val="00F844BC"/>
    <w:rsid w:val="00F8561C"/>
    <w:rsid w:val="00F8609F"/>
    <w:rsid w:val="00F867A3"/>
    <w:rsid w:val="00F90DFA"/>
    <w:rsid w:val="00F91B7A"/>
    <w:rsid w:val="00F95122"/>
    <w:rsid w:val="00F96EAA"/>
    <w:rsid w:val="00FA12C9"/>
    <w:rsid w:val="00FA2356"/>
    <w:rsid w:val="00FA6D0C"/>
    <w:rsid w:val="00FA71EB"/>
    <w:rsid w:val="00FB0D5A"/>
    <w:rsid w:val="00FB19ED"/>
    <w:rsid w:val="00FB382B"/>
    <w:rsid w:val="00FB5FAA"/>
    <w:rsid w:val="00FB6549"/>
    <w:rsid w:val="00FB7094"/>
    <w:rsid w:val="00FB735B"/>
    <w:rsid w:val="00FC0A71"/>
    <w:rsid w:val="00FC1BC2"/>
    <w:rsid w:val="00FC61DF"/>
    <w:rsid w:val="00FC6AA2"/>
    <w:rsid w:val="00FC7DD5"/>
    <w:rsid w:val="00FD4729"/>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1"/>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1"/>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1"/>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1"/>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uiPriority w:val="1"/>
    <w:qFormat/>
    <w:rsid w:val="00B66DF8"/>
    <w:pPr>
      <w:spacing w:before="240" w:after="60"/>
      <w:outlineLvl w:val="4"/>
    </w:pPr>
    <w:rPr>
      <w:b/>
      <w:bCs/>
      <w:i/>
      <w:iCs/>
      <w:sz w:val="26"/>
      <w:szCs w:val="26"/>
      <w:lang w:val="en-US"/>
    </w:rPr>
  </w:style>
  <w:style w:type="paragraph" w:styleId="Heading6">
    <w:name w:val="heading 6"/>
    <w:basedOn w:val="Normal"/>
    <w:next w:val="Normal"/>
    <w:link w:val="Heading6Char"/>
    <w:uiPriority w:val="1"/>
    <w:qFormat/>
    <w:rsid w:val="00B66DF8"/>
    <w:pPr>
      <w:spacing w:before="240" w:after="60"/>
      <w:outlineLvl w:val="5"/>
    </w:pPr>
    <w:rPr>
      <w:b/>
      <w:bCs/>
      <w:sz w:val="20"/>
      <w:lang w:val="en-US"/>
    </w:rPr>
  </w:style>
  <w:style w:type="paragraph" w:styleId="Heading7">
    <w:name w:val="heading 7"/>
    <w:basedOn w:val="Normal"/>
    <w:next w:val="Normal"/>
    <w:link w:val="Heading7Char"/>
    <w:uiPriority w:val="1"/>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uiPriority w:val="9"/>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1"/>
    <w:qFormat/>
    <w:rsid w:val="00B66DF8"/>
    <w:pPr>
      <w:spacing w:after="120"/>
    </w:pPr>
    <w:rPr>
      <w:bCs/>
      <w:sz w:val="24"/>
      <w:szCs w:val="24"/>
      <w:lang w:val="en-US"/>
    </w:rPr>
  </w:style>
  <w:style w:type="character" w:customStyle="1" w:styleId="BodyTextChar">
    <w:name w:val="Body Text Char"/>
    <w:basedOn w:val="DefaultParagraphFont"/>
    <w:link w:val="BodyText"/>
    <w:uiPriority w:val="99"/>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1"/>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 w:type="paragraph" w:customStyle="1" w:styleId="TableParagraph">
    <w:name w:val="Table Paragraph"/>
    <w:basedOn w:val="Normal"/>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4616810">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7375858">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2819757">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432246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4639015">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06673117">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5142800">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39370829">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s://ec.europa.eu/clima/policies/eu-climate-action/law_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17318</Words>
  <Characters>98715</Characters>
  <Application>Microsoft Office Word</Application>
  <DocSecurity>0</DocSecurity>
  <Lines>822</Lines>
  <Paragraphs>231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5</cp:revision>
  <cp:lastPrinted>2026-01-23T14:09:00Z</cp:lastPrinted>
  <dcterms:created xsi:type="dcterms:W3CDTF">2026-01-23T14:04:00Z</dcterms:created>
  <dcterms:modified xsi:type="dcterms:W3CDTF">2026-01-28T15:21:00Z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